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2F09E" w14:textId="3B642859" w:rsidR="007567E1" w:rsidRPr="00555A05" w:rsidRDefault="007567E1" w:rsidP="007567E1">
      <w:pPr>
        <w:framePr w:w="3244" w:h="1051" w:wrap="auto" w:vAnchor="page" w:hAnchor="page" w:x="4483" w:y="1465"/>
        <w:tabs>
          <w:tab w:val="left" w:pos="2520"/>
        </w:tabs>
        <w:spacing w:line="276" w:lineRule="auto"/>
        <w:jc w:val="center"/>
        <w:rPr>
          <w:rFonts w:ascii="Calibri" w:hAnsi="Calibri"/>
          <w:b/>
          <w:sz w:val="22"/>
          <w:szCs w:val="22"/>
        </w:rPr>
      </w:pPr>
      <w:r w:rsidRPr="00555A05">
        <w:rPr>
          <w:rFonts w:ascii="Calibri" w:hAnsi="Calibri"/>
          <w:b/>
          <w:noProof/>
          <w:sz w:val="22"/>
          <w:szCs w:val="22"/>
        </w:rPr>
        <w:drawing>
          <wp:inline distT="0" distB="0" distL="0" distR="0" wp14:anchorId="0F7DFDEC" wp14:editId="7FBAC6A8">
            <wp:extent cx="2057400" cy="52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520700"/>
                    </a:xfrm>
                    <a:prstGeom prst="rect">
                      <a:avLst/>
                    </a:prstGeom>
                    <a:noFill/>
                    <a:ln>
                      <a:noFill/>
                    </a:ln>
                  </pic:spPr>
                </pic:pic>
              </a:graphicData>
            </a:graphic>
          </wp:inline>
        </w:drawing>
      </w:r>
    </w:p>
    <w:p w14:paraId="0D55CBD9" w14:textId="77777777" w:rsidR="007567E1" w:rsidRPr="00555A05" w:rsidRDefault="007567E1" w:rsidP="007567E1">
      <w:pPr>
        <w:framePr w:w="3244" w:h="1051" w:wrap="auto" w:vAnchor="page" w:hAnchor="page" w:x="4483" w:y="1465"/>
        <w:tabs>
          <w:tab w:val="left" w:pos="2520"/>
        </w:tabs>
        <w:spacing w:line="276" w:lineRule="auto"/>
        <w:ind w:left="2700"/>
        <w:jc w:val="center"/>
        <w:rPr>
          <w:rFonts w:ascii="Calibri" w:hAnsi="Calibri"/>
          <w:b/>
          <w:sz w:val="22"/>
          <w:szCs w:val="22"/>
        </w:rPr>
      </w:pPr>
    </w:p>
    <w:p w14:paraId="2F79ED6B" w14:textId="77777777" w:rsidR="007567E1" w:rsidRPr="00555A05" w:rsidRDefault="007567E1" w:rsidP="007567E1">
      <w:pPr>
        <w:framePr w:w="3244" w:h="1051" w:wrap="auto" w:vAnchor="page" w:hAnchor="page" w:x="4483" w:y="1465"/>
        <w:tabs>
          <w:tab w:val="left" w:pos="2520"/>
        </w:tabs>
        <w:spacing w:line="276" w:lineRule="auto"/>
        <w:ind w:left="2700"/>
        <w:jc w:val="center"/>
        <w:rPr>
          <w:rFonts w:ascii="Calibri" w:hAnsi="Calibri"/>
          <w:b/>
          <w:sz w:val="22"/>
          <w:szCs w:val="22"/>
        </w:rPr>
      </w:pPr>
    </w:p>
    <w:p w14:paraId="7FE7965A" w14:textId="77777777" w:rsidR="007567E1" w:rsidRDefault="007567E1" w:rsidP="007567E1">
      <w:pPr>
        <w:pStyle w:val="Heading6"/>
        <w:spacing w:line="276" w:lineRule="auto"/>
        <w:jc w:val="left"/>
        <w:rPr>
          <w:rFonts w:ascii="Calibri" w:hAnsi="Calibri"/>
          <w:sz w:val="22"/>
          <w:szCs w:val="22"/>
        </w:rPr>
      </w:pPr>
    </w:p>
    <w:p w14:paraId="727FEF0E" w14:textId="77777777" w:rsidR="007567E1" w:rsidRDefault="007567E1" w:rsidP="007567E1"/>
    <w:p w14:paraId="3102EFBC" w14:textId="77777777" w:rsidR="007567E1" w:rsidRPr="00932C9B" w:rsidRDefault="007567E1" w:rsidP="007567E1"/>
    <w:p w14:paraId="58B3DEAE" w14:textId="77777777" w:rsidR="007567E1" w:rsidRPr="00555A05" w:rsidRDefault="007567E1" w:rsidP="007567E1">
      <w:pPr>
        <w:pStyle w:val="Heading6"/>
        <w:spacing w:line="276" w:lineRule="auto"/>
        <w:rPr>
          <w:rFonts w:ascii="Calibri" w:hAnsi="Calibri"/>
          <w:sz w:val="22"/>
          <w:szCs w:val="22"/>
        </w:rPr>
      </w:pPr>
    </w:p>
    <w:p w14:paraId="07729BD2" w14:textId="1D6EA32F" w:rsidR="007567E1" w:rsidRDefault="007567E1" w:rsidP="007567E1">
      <w:pPr>
        <w:pStyle w:val="Heading6"/>
        <w:spacing w:line="276" w:lineRule="auto"/>
        <w:rPr>
          <w:rFonts w:ascii="Calibri" w:hAnsi="Calibri"/>
          <w:sz w:val="22"/>
          <w:szCs w:val="22"/>
        </w:rPr>
      </w:pPr>
    </w:p>
    <w:p w14:paraId="3876F5B3" w14:textId="77777777" w:rsidR="007567E1" w:rsidRPr="007567E1" w:rsidRDefault="007567E1" w:rsidP="007567E1"/>
    <w:p w14:paraId="52D07C43" w14:textId="77777777" w:rsidR="007567E1" w:rsidRPr="00555A05" w:rsidRDefault="007567E1" w:rsidP="007567E1">
      <w:pPr>
        <w:pStyle w:val="Heading6"/>
        <w:spacing w:line="276" w:lineRule="auto"/>
        <w:rPr>
          <w:rFonts w:ascii="Calibri" w:hAnsi="Calibri"/>
          <w:sz w:val="22"/>
          <w:szCs w:val="22"/>
        </w:rPr>
      </w:pPr>
      <w:r w:rsidRPr="00555A05">
        <w:rPr>
          <w:rFonts w:ascii="Calibri" w:hAnsi="Calibri"/>
          <w:sz w:val="22"/>
          <w:szCs w:val="22"/>
        </w:rPr>
        <w:t>University of Utah</w:t>
      </w:r>
    </w:p>
    <w:p w14:paraId="1640B223" w14:textId="6F6A024D" w:rsidR="00DE7446" w:rsidRDefault="007567E1" w:rsidP="007567E1">
      <w:pPr>
        <w:jc w:val="center"/>
        <w:rPr>
          <w:rFonts w:ascii="Calibri" w:hAnsi="Calibri" w:cs="Tahoma"/>
          <w:b/>
          <w:sz w:val="22"/>
          <w:szCs w:val="22"/>
        </w:rPr>
      </w:pPr>
      <w:r>
        <w:rPr>
          <w:rFonts w:ascii="Calibri" w:hAnsi="Calibri" w:cs="Tahoma"/>
          <w:b/>
          <w:sz w:val="22"/>
          <w:szCs w:val="22"/>
        </w:rPr>
        <w:t>SOP for Working with Human Samples and Cells</w:t>
      </w:r>
    </w:p>
    <w:p w14:paraId="6313894A" w14:textId="7F86C0A8" w:rsidR="007567E1" w:rsidRDefault="007567E1" w:rsidP="007567E1">
      <w:pPr>
        <w:jc w:val="center"/>
        <w:rPr>
          <w:rFonts w:ascii="Calibri" w:hAnsi="Calibri" w:cs="Tahoma"/>
          <w:b/>
          <w:sz w:val="22"/>
          <w:szCs w:val="22"/>
        </w:rPr>
      </w:pPr>
    </w:p>
    <w:p w14:paraId="26AF7530" w14:textId="77777777" w:rsidR="00342CF1" w:rsidRPr="00600BC0" w:rsidRDefault="00342CF1" w:rsidP="00342CF1">
      <w:pPr>
        <w:spacing w:line="276" w:lineRule="auto"/>
        <w:ind w:left="106"/>
        <w:rPr>
          <w:rFonts w:ascii="Calibri" w:hAnsi="Calibri"/>
          <w:b/>
          <w:bCs/>
          <w:sz w:val="22"/>
          <w:szCs w:val="22"/>
        </w:rPr>
      </w:pPr>
      <w:r w:rsidRPr="00600BC0">
        <w:rPr>
          <w:rFonts w:ascii="Calibri" w:hAnsi="Calibri"/>
          <w:b/>
          <w:bCs/>
          <w:sz w:val="22"/>
          <w:szCs w:val="22"/>
        </w:rPr>
        <w:t>Potential Hazards:</w:t>
      </w:r>
    </w:p>
    <w:p w14:paraId="342F6850" w14:textId="77777777" w:rsidR="00342CF1" w:rsidRPr="00C74FBB" w:rsidRDefault="00342CF1" w:rsidP="00342CF1">
      <w:pPr>
        <w:spacing w:line="276" w:lineRule="auto"/>
        <w:rPr>
          <w:rFonts w:ascii="Calibri" w:hAnsi="Calibri"/>
          <w:sz w:val="22"/>
          <w:szCs w:val="22"/>
        </w:rPr>
      </w:pPr>
    </w:p>
    <w:p w14:paraId="19C18F8B" w14:textId="1DADFA41" w:rsidR="00342CF1" w:rsidRDefault="00342CF1" w:rsidP="00342CF1">
      <w:pPr>
        <w:spacing w:line="276" w:lineRule="auto"/>
        <w:ind w:left="736" w:right="273"/>
        <w:rPr>
          <w:rFonts w:ascii="Calibri" w:hAnsi="Calibri"/>
          <w:sz w:val="22"/>
          <w:szCs w:val="22"/>
        </w:rPr>
      </w:pPr>
      <w:r w:rsidRPr="00C74FBB">
        <w:rPr>
          <w:rFonts w:ascii="Calibri" w:hAnsi="Calibri"/>
          <w:sz w:val="22"/>
          <w:szCs w:val="22"/>
        </w:rPr>
        <w:t>The potential laboratory hazards associated with human cells and tissues include the bloodborne pathogens HBV</w:t>
      </w:r>
      <w:r w:rsidR="00417872">
        <w:rPr>
          <w:rFonts w:ascii="Calibri" w:hAnsi="Calibri"/>
          <w:sz w:val="22"/>
          <w:szCs w:val="22"/>
        </w:rPr>
        <w:t xml:space="preserve"> </w:t>
      </w:r>
      <w:r w:rsidRPr="00C74FBB">
        <w:rPr>
          <w:rFonts w:ascii="Calibri" w:hAnsi="Calibri"/>
          <w:sz w:val="22"/>
          <w:szCs w:val="22"/>
        </w:rPr>
        <w:t>and HIV, as well as agents such as Mycobacterium tuberculosis that may be present in human lung tissues. Potential hazards to laboratory workers are presented by cells transformed with viral agents, such as SV-40, EBV, or HBV, as well as cells carrying viral genomic material. Tumorigenic human cells also are potential hazards as a result of self-inoculation.</w:t>
      </w:r>
    </w:p>
    <w:p w14:paraId="44210FA9" w14:textId="77777777" w:rsidR="00342CF1" w:rsidRPr="00C74FBB" w:rsidRDefault="00342CF1" w:rsidP="00342CF1">
      <w:pPr>
        <w:spacing w:line="276" w:lineRule="auto"/>
        <w:ind w:left="736" w:right="273"/>
        <w:rPr>
          <w:rFonts w:ascii="Calibri" w:hAnsi="Calibri"/>
          <w:sz w:val="22"/>
          <w:szCs w:val="22"/>
        </w:rPr>
      </w:pPr>
    </w:p>
    <w:p w14:paraId="67259372" w14:textId="1E352A85" w:rsidR="000043A1" w:rsidRPr="00600BC0" w:rsidRDefault="00AC3FA8" w:rsidP="000043A1">
      <w:pPr>
        <w:spacing w:line="276" w:lineRule="auto"/>
        <w:ind w:left="115"/>
        <w:rPr>
          <w:rFonts w:ascii="Calibri" w:hAnsi="Calibri"/>
          <w:b/>
          <w:bCs/>
          <w:sz w:val="22"/>
          <w:szCs w:val="22"/>
        </w:rPr>
      </w:pPr>
      <w:r w:rsidRPr="00600BC0">
        <w:rPr>
          <w:rFonts w:ascii="Calibri" w:hAnsi="Calibri"/>
          <w:b/>
          <w:bCs/>
          <w:sz w:val="22"/>
          <w:szCs w:val="22"/>
        </w:rPr>
        <w:t>Regulations and Guidelines</w:t>
      </w:r>
      <w:r w:rsidR="000043A1" w:rsidRPr="00600BC0">
        <w:rPr>
          <w:rFonts w:ascii="Calibri" w:hAnsi="Calibri"/>
          <w:b/>
          <w:bCs/>
          <w:sz w:val="22"/>
          <w:szCs w:val="22"/>
        </w:rPr>
        <w:t>:</w:t>
      </w:r>
    </w:p>
    <w:p w14:paraId="78ACE91C" w14:textId="77777777" w:rsidR="00600BC0" w:rsidRPr="00C74FBB" w:rsidRDefault="00600BC0" w:rsidP="000043A1">
      <w:pPr>
        <w:spacing w:line="276" w:lineRule="auto"/>
        <w:ind w:left="115"/>
        <w:rPr>
          <w:rFonts w:ascii="Calibri" w:hAnsi="Calibri"/>
          <w:sz w:val="22"/>
          <w:szCs w:val="22"/>
        </w:rPr>
      </w:pPr>
    </w:p>
    <w:p w14:paraId="155F9EEE" w14:textId="77777777" w:rsidR="00AC3FA8" w:rsidRDefault="000043A1" w:rsidP="000043A1">
      <w:pPr>
        <w:spacing w:line="276" w:lineRule="auto"/>
        <w:ind w:left="746" w:right="99"/>
        <w:rPr>
          <w:rFonts w:ascii="Calibri" w:hAnsi="Calibri"/>
          <w:sz w:val="22"/>
          <w:szCs w:val="22"/>
        </w:rPr>
      </w:pPr>
      <w:r w:rsidRPr="00C74FBB">
        <w:rPr>
          <w:rFonts w:ascii="Calibri" w:hAnsi="Calibri"/>
          <w:sz w:val="22"/>
          <w:szCs w:val="22"/>
        </w:rPr>
        <w:t xml:space="preserve">Human cells </w:t>
      </w:r>
      <w:r>
        <w:rPr>
          <w:rFonts w:ascii="Calibri" w:hAnsi="Calibri"/>
          <w:sz w:val="22"/>
          <w:szCs w:val="22"/>
        </w:rPr>
        <w:t>must</w:t>
      </w:r>
      <w:r w:rsidRPr="00C74FBB">
        <w:rPr>
          <w:rFonts w:ascii="Calibri" w:hAnsi="Calibri"/>
          <w:sz w:val="22"/>
          <w:szCs w:val="22"/>
        </w:rPr>
        <w:t xml:space="preserve"> be handled using BIOSAFETY LEVEL 2 practices</w:t>
      </w:r>
      <w:r w:rsidR="005A5259">
        <w:rPr>
          <w:rFonts w:ascii="Calibri" w:hAnsi="Calibri"/>
          <w:sz w:val="22"/>
          <w:szCs w:val="22"/>
        </w:rPr>
        <w:t>, using Universal Precautions</w:t>
      </w:r>
      <w:r w:rsidRPr="00C74FBB">
        <w:rPr>
          <w:rFonts w:ascii="Calibri" w:hAnsi="Calibri"/>
          <w:sz w:val="22"/>
          <w:szCs w:val="22"/>
        </w:rPr>
        <w:t>.</w:t>
      </w:r>
      <w:r w:rsidR="005A5259">
        <w:rPr>
          <w:rFonts w:ascii="Calibri" w:hAnsi="Calibri"/>
          <w:sz w:val="22"/>
          <w:szCs w:val="22"/>
        </w:rPr>
        <w:t xml:space="preserve"> Universal Precautions </w:t>
      </w:r>
      <w:r w:rsidR="00BE0FCC">
        <w:rPr>
          <w:rFonts w:ascii="Calibri" w:hAnsi="Calibri"/>
          <w:sz w:val="22"/>
          <w:szCs w:val="22"/>
        </w:rPr>
        <w:t>assume</w:t>
      </w:r>
      <w:r w:rsidR="005A5259">
        <w:rPr>
          <w:rFonts w:ascii="Calibri" w:hAnsi="Calibri"/>
          <w:sz w:val="22"/>
          <w:szCs w:val="22"/>
        </w:rPr>
        <w:t xml:space="preserve"> that all human source material is infectious with bloodborne pathogens.</w:t>
      </w:r>
      <w:r w:rsidRPr="00C74FBB">
        <w:rPr>
          <w:rFonts w:ascii="Calibri" w:hAnsi="Calibri"/>
          <w:sz w:val="22"/>
          <w:szCs w:val="22"/>
        </w:rPr>
        <w:t xml:space="preserve"> </w:t>
      </w:r>
      <w:r>
        <w:rPr>
          <w:rFonts w:ascii="Calibri" w:hAnsi="Calibri"/>
          <w:sz w:val="22"/>
          <w:szCs w:val="22"/>
        </w:rPr>
        <w:t>This is recommended by the CDC (BMBL 6</w:t>
      </w:r>
      <w:r w:rsidRPr="000043A1">
        <w:rPr>
          <w:rFonts w:ascii="Calibri" w:hAnsi="Calibri"/>
          <w:sz w:val="22"/>
          <w:szCs w:val="22"/>
          <w:vertAlign w:val="superscript"/>
        </w:rPr>
        <w:t>th</w:t>
      </w:r>
      <w:r>
        <w:rPr>
          <w:rFonts w:ascii="Calibri" w:hAnsi="Calibri"/>
          <w:sz w:val="22"/>
          <w:szCs w:val="22"/>
        </w:rPr>
        <w:t xml:space="preserve"> edition, </w:t>
      </w:r>
      <w:hyperlink r:id="rId6" w:history="1">
        <w:r w:rsidRPr="005831EF">
          <w:rPr>
            <w:rStyle w:val="Hyperlink"/>
            <w:rFonts w:ascii="Calibri" w:hAnsi="Calibri"/>
            <w:sz w:val="22"/>
            <w:szCs w:val="22"/>
          </w:rPr>
          <w:t>https://www.cdc.gov/labs/pdf/SF__19_308133-A_BMBL6_00-BOOK-WEB-final-3.pdf</w:t>
        </w:r>
      </w:hyperlink>
      <w:r>
        <w:rPr>
          <w:rFonts w:ascii="Calibri" w:hAnsi="Calibri"/>
          <w:sz w:val="22"/>
          <w:szCs w:val="22"/>
        </w:rPr>
        <w:t>) and ATCC (</w:t>
      </w:r>
      <w:hyperlink r:id="rId7" w:history="1">
        <w:r w:rsidRPr="005831EF">
          <w:rPr>
            <w:rStyle w:val="Hyperlink"/>
            <w:rFonts w:ascii="Calibri" w:hAnsi="Calibri"/>
            <w:sz w:val="22"/>
            <w:szCs w:val="22"/>
          </w:rPr>
          <w:t>https://www.atcc.org/support/technical-support/faqs/biosafety-level-for-atcc-cultures</w:t>
        </w:r>
      </w:hyperlink>
      <w:r>
        <w:rPr>
          <w:rFonts w:ascii="Calibri" w:hAnsi="Calibri"/>
          <w:sz w:val="22"/>
          <w:szCs w:val="22"/>
        </w:rPr>
        <w:t xml:space="preserve">) and REQUIRED by the University of Utah. </w:t>
      </w:r>
      <w:r w:rsidR="009C6F8F">
        <w:rPr>
          <w:rFonts w:ascii="Calibri" w:hAnsi="Calibri"/>
          <w:sz w:val="22"/>
          <w:szCs w:val="22"/>
        </w:rPr>
        <w:t xml:space="preserve">Additionally, all human samples and cells that have the potential to be infected </w:t>
      </w:r>
      <w:r w:rsidR="00AC3FA8">
        <w:rPr>
          <w:rFonts w:ascii="Calibri" w:hAnsi="Calibri"/>
          <w:sz w:val="22"/>
          <w:szCs w:val="22"/>
        </w:rPr>
        <w:t xml:space="preserve">with bloodborne pathogens are covered by the </w:t>
      </w:r>
      <w:r w:rsidR="00AC3FA8" w:rsidRPr="00AC3FA8">
        <w:rPr>
          <w:rFonts w:ascii="Calibri" w:hAnsi="Calibri"/>
          <w:sz w:val="22"/>
          <w:szCs w:val="22"/>
        </w:rPr>
        <w:t>Occupational Safety &amp; Health Administration (OSHA) Bloodborne Pathogen Standard, 29 CFR 1910.1030</w:t>
      </w:r>
      <w:r w:rsidR="00AC3FA8">
        <w:rPr>
          <w:rFonts w:ascii="Calibri" w:hAnsi="Calibri"/>
          <w:sz w:val="22"/>
          <w:szCs w:val="22"/>
        </w:rPr>
        <w:t xml:space="preserve">. </w:t>
      </w:r>
    </w:p>
    <w:p w14:paraId="6D3DC95B" w14:textId="77777777" w:rsidR="00AC3FA8" w:rsidRDefault="00AC3FA8" w:rsidP="000043A1">
      <w:pPr>
        <w:spacing w:line="276" w:lineRule="auto"/>
        <w:ind w:left="746" w:right="99"/>
        <w:rPr>
          <w:rFonts w:ascii="Calibri" w:hAnsi="Calibri"/>
          <w:sz w:val="22"/>
          <w:szCs w:val="22"/>
        </w:rPr>
      </w:pPr>
    </w:p>
    <w:p w14:paraId="74EA336C" w14:textId="10B1BA1C" w:rsidR="00EF7933" w:rsidRDefault="00AC3FA8" w:rsidP="00827ECA">
      <w:pPr>
        <w:spacing w:line="276" w:lineRule="auto"/>
        <w:ind w:left="720" w:right="99"/>
        <w:rPr>
          <w:rFonts w:ascii="Calibri" w:hAnsi="Calibri"/>
          <w:sz w:val="22"/>
          <w:szCs w:val="22"/>
        </w:rPr>
      </w:pPr>
      <w:r>
        <w:rPr>
          <w:rFonts w:ascii="Calibri" w:hAnsi="Calibri"/>
          <w:sz w:val="22"/>
          <w:szCs w:val="22"/>
        </w:rPr>
        <w:t>The University of Utah Institutional Biosafety Committee (IBC) has oversight over research with human samples and cells, and all l</w:t>
      </w:r>
      <w:r w:rsidR="00EF7933">
        <w:rPr>
          <w:rFonts w:ascii="Calibri" w:hAnsi="Calibri"/>
          <w:sz w:val="22"/>
          <w:szCs w:val="22"/>
        </w:rPr>
        <w:t xml:space="preserve">aboratories (PI’s) must register work with </w:t>
      </w:r>
      <w:r>
        <w:rPr>
          <w:rFonts w:ascii="Calibri" w:hAnsi="Calibri"/>
          <w:sz w:val="22"/>
          <w:szCs w:val="22"/>
        </w:rPr>
        <w:t>these samples and cells</w:t>
      </w:r>
      <w:r w:rsidR="00EF7933">
        <w:rPr>
          <w:rFonts w:ascii="Calibri" w:hAnsi="Calibri"/>
          <w:sz w:val="22"/>
          <w:szCs w:val="22"/>
        </w:rPr>
        <w:t xml:space="preserve"> with the IBC</w:t>
      </w:r>
      <w:r>
        <w:rPr>
          <w:rFonts w:ascii="Calibri" w:hAnsi="Calibri"/>
          <w:sz w:val="22"/>
          <w:szCs w:val="22"/>
        </w:rPr>
        <w:t xml:space="preserve"> (</w:t>
      </w:r>
      <w:hyperlink r:id="rId8" w:history="1">
        <w:r w:rsidRPr="00E731E9">
          <w:rPr>
            <w:rStyle w:val="Hyperlink"/>
            <w:rFonts w:ascii="Calibri" w:hAnsi="Calibri"/>
            <w:sz w:val="22"/>
            <w:szCs w:val="22"/>
          </w:rPr>
          <w:t>https://ibc.utah.edu/ibc-registration.php</w:t>
        </w:r>
      </w:hyperlink>
      <w:r>
        <w:rPr>
          <w:rFonts w:ascii="Calibri" w:hAnsi="Calibri"/>
          <w:sz w:val="22"/>
          <w:szCs w:val="22"/>
        </w:rPr>
        <w:t xml:space="preserve">). </w:t>
      </w:r>
      <w:r w:rsidR="007375A1">
        <w:rPr>
          <w:rFonts w:ascii="Calibri" w:hAnsi="Calibri"/>
          <w:sz w:val="22"/>
          <w:szCs w:val="22"/>
        </w:rPr>
        <w:t>This is inclusive of commercial human cell lines (such as those purchased from ATCC).</w:t>
      </w:r>
    </w:p>
    <w:p w14:paraId="464527D1" w14:textId="66154F7F" w:rsidR="001F732E" w:rsidRDefault="001F732E" w:rsidP="000043A1">
      <w:pPr>
        <w:spacing w:line="276" w:lineRule="auto"/>
        <w:ind w:left="746" w:right="99"/>
        <w:rPr>
          <w:rFonts w:ascii="Calibri" w:hAnsi="Calibri"/>
          <w:sz w:val="22"/>
          <w:szCs w:val="22"/>
        </w:rPr>
      </w:pPr>
    </w:p>
    <w:p w14:paraId="4D10DB58" w14:textId="40C6114E" w:rsidR="001F732E" w:rsidRDefault="001F732E" w:rsidP="001F732E">
      <w:pPr>
        <w:spacing w:line="276" w:lineRule="auto"/>
        <w:ind w:left="746" w:right="99"/>
        <w:rPr>
          <w:rFonts w:ascii="Calibri" w:hAnsi="Calibri"/>
          <w:sz w:val="22"/>
          <w:szCs w:val="22"/>
        </w:rPr>
      </w:pPr>
      <w:r w:rsidRPr="00C74FBB">
        <w:rPr>
          <w:rFonts w:ascii="Calibri" w:hAnsi="Calibri"/>
          <w:sz w:val="22"/>
          <w:szCs w:val="22"/>
        </w:rPr>
        <w:t>All employees</w:t>
      </w:r>
      <w:r>
        <w:rPr>
          <w:rFonts w:ascii="Calibri" w:hAnsi="Calibri"/>
          <w:sz w:val="22"/>
          <w:szCs w:val="22"/>
        </w:rPr>
        <w:t xml:space="preserve"> and students</w:t>
      </w:r>
      <w:r w:rsidRPr="00C74FBB">
        <w:rPr>
          <w:rFonts w:ascii="Calibri" w:hAnsi="Calibri"/>
          <w:sz w:val="22"/>
          <w:szCs w:val="22"/>
        </w:rPr>
        <w:t xml:space="preserve"> working with human cells and tissues must complete annual </w:t>
      </w:r>
      <w:hyperlink r:id="rId9" w:history="1">
        <w:r w:rsidRPr="00B058AB">
          <w:rPr>
            <w:rStyle w:val="Hyperlink"/>
            <w:rFonts w:ascii="Calibri" w:hAnsi="Calibri"/>
            <w:sz w:val="22"/>
            <w:szCs w:val="22"/>
          </w:rPr>
          <w:t>Bloodborne Pathogens (BBP) training</w:t>
        </w:r>
      </w:hyperlink>
      <w:r w:rsidRPr="00C74FBB">
        <w:rPr>
          <w:rFonts w:ascii="Calibri" w:hAnsi="Calibri"/>
          <w:sz w:val="22"/>
          <w:szCs w:val="22"/>
        </w:rPr>
        <w:t xml:space="preserve">, and must work under the policies and guidelines </w:t>
      </w:r>
      <w:r>
        <w:rPr>
          <w:rFonts w:ascii="Calibri" w:hAnsi="Calibri"/>
          <w:sz w:val="22"/>
          <w:szCs w:val="22"/>
        </w:rPr>
        <w:t>of</w:t>
      </w:r>
      <w:r w:rsidRPr="00C74FBB">
        <w:rPr>
          <w:rFonts w:ascii="Calibri" w:hAnsi="Calibri"/>
          <w:sz w:val="22"/>
          <w:szCs w:val="22"/>
        </w:rPr>
        <w:t xml:space="preserve"> the </w:t>
      </w:r>
      <w:hyperlink r:id="rId10" w:history="1">
        <w:r w:rsidRPr="00B058AB">
          <w:rPr>
            <w:rStyle w:val="Hyperlink"/>
            <w:rFonts w:ascii="Calibri" w:hAnsi="Calibri"/>
            <w:sz w:val="22"/>
            <w:szCs w:val="22"/>
          </w:rPr>
          <w:t>University of Utah Exposure Control Plan</w:t>
        </w:r>
        <w:r w:rsidR="00827ECA" w:rsidRPr="00B058AB">
          <w:rPr>
            <w:rStyle w:val="Hyperlink"/>
            <w:rFonts w:ascii="Calibri" w:hAnsi="Calibri"/>
            <w:sz w:val="22"/>
            <w:szCs w:val="22"/>
          </w:rPr>
          <w:t xml:space="preserve"> (ECP</w:t>
        </w:r>
      </w:hyperlink>
      <w:r w:rsidR="00827ECA">
        <w:rPr>
          <w:rFonts w:ascii="Calibri" w:hAnsi="Calibri"/>
          <w:sz w:val="22"/>
          <w:szCs w:val="22"/>
        </w:rPr>
        <w:t>)</w:t>
      </w:r>
      <w:r w:rsidRPr="00C74FBB">
        <w:rPr>
          <w:rFonts w:ascii="Calibri" w:hAnsi="Calibri"/>
          <w:sz w:val="22"/>
          <w:szCs w:val="22"/>
        </w:rPr>
        <w:t>.</w:t>
      </w:r>
      <w:r>
        <w:rPr>
          <w:rFonts w:ascii="Calibri" w:hAnsi="Calibri"/>
          <w:sz w:val="22"/>
          <w:szCs w:val="22"/>
        </w:rPr>
        <w:t xml:space="preserve"> </w:t>
      </w:r>
      <w:r w:rsidR="00827ECA">
        <w:rPr>
          <w:rFonts w:ascii="Calibri" w:hAnsi="Calibri"/>
          <w:sz w:val="22"/>
          <w:szCs w:val="22"/>
        </w:rPr>
        <w:t xml:space="preserve">Attestation of adhering to the ECP must be made in </w:t>
      </w:r>
      <w:r w:rsidR="00827ECA" w:rsidRPr="00E4151D">
        <w:rPr>
          <w:rFonts w:ascii="Calibri" w:hAnsi="Calibri"/>
          <w:b/>
          <w:bCs/>
          <w:sz w:val="22"/>
          <w:szCs w:val="22"/>
        </w:rPr>
        <w:t xml:space="preserve">Appendix </w:t>
      </w:r>
      <w:r w:rsidR="00E4151D" w:rsidRPr="00E4151D">
        <w:rPr>
          <w:rFonts w:ascii="Calibri" w:hAnsi="Calibri"/>
          <w:b/>
          <w:bCs/>
          <w:sz w:val="22"/>
          <w:szCs w:val="22"/>
        </w:rPr>
        <w:t>1</w:t>
      </w:r>
      <w:r w:rsidR="00827ECA">
        <w:rPr>
          <w:rFonts w:ascii="Calibri" w:hAnsi="Calibri"/>
          <w:sz w:val="22"/>
          <w:szCs w:val="22"/>
        </w:rPr>
        <w:t xml:space="preserve">. </w:t>
      </w:r>
      <w:proofErr w:type="spellStart"/>
      <w:r>
        <w:rPr>
          <w:rFonts w:ascii="Calibri" w:hAnsi="Calibri"/>
          <w:sz w:val="22"/>
          <w:szCs w:val="22"/>
        </w:rPr>
        <w:t>HepB</w:t>
      </w:r>
      <w:proofErr w:type="spellEnd"/>
      <w:r>
        <w:rPr>
          <w:rFonts w:ascii="Calibri" w:hAnsi="Calibri"/>
          <w:sz w:val="22"/>
          <w:szCs w:val="22"/>
        </w:rPr>
        <w:t xml:space="preserve"> vaccination is recommended and provided by the institution via Occupational Medicine. </w:t>
      </w:r>
      <w:r w:rsidR="00B058AB">
        <w:rPr>
          <w:rFonts w:ascii="Calibri" w:hAnsi="Calibri"/>
          <w:sz w:val="22"/>
          <w:szCs w:val="22"/>
        </w:rPr>
        <w:t>Information on e</w:t>
      </w:r>
      <w:r>
        <w:rPr>
          <w:rFonts w:ascii="Calibri" w:hAnsi="Calibri"/>
          <w:sz w:val="22"/>
          <w:szCs w:val="22"/>
        </w:rPr>
        <w:t>nrollment in</w:t>
      </w:r>
      <w:r w:rsidR="00B058AB">
        <w:rPr>
          <w:rFonts w:ascii="Calibri" w:hAnsi="Calibri"/>
          <w:sz w:val="22"/>
          <w:szCs w:val="22"/>
        </w:rPr>
        <w:t>to the</w:t>
      </w:r>
      <w:r>
        <w:rPr>
          <w:rFonts w:ascii="Calibri" w:hAnsi="Calibri"/>
          <w:sz w:val="22"/>
          <w:szCs w:val="22"/>
        </w:rPr>
        <w:t xml:space="preserve"> Occ Med’s </w:t>
      </w:r>
      <w:proofErr w:type="spellStart"/>
      <w:r>
        <w:rPr>
          <w:rFonts w:ascii="Calibri" w:hAnsi="Calibri"/>
          <w:sz w:val="22"/>
          <w:szCs w:val="22"/>
        </w:rPr>
        <w:t>HepB</w:t>
      </w:r>
      <w:proofErr w:type="spellEnd"/>
      <w:r>
        <w:rPr>
          <w:rFonts w:ascii="Calibri" w:hAnsi="Calibri"/>
          <w:sz w:val="22"/>
          <w:szCs w:val="22"/>
        </w:rPr>
        <w:t xml:space="preserve"> </w:t>
      </w:r>
      <w:r w:rsidR="00B058AB">
        <w:rPr>
          <w:rFonts w:ascii="Calibri" w:hAnsi="Calibri"/>
          <w:sz w:val="22"/>
          <w:szCs w:val="22"/>
        </w:rPr>
        <w:t xml:space="preserve">vaccination </w:t>
      </w:r>
      <w:r>
        <w:rPr>
          <w:rFonts w:ascii="Calibri" w:hAnsi="Calibri"/>
          <w:sz w:val="22"/>
          <w:szCs w:val="22"/>
        </w:rPr>
        <w:t xml:space="preserve">program will be </w:t>
      </w:r>
      <w:r w:rsidR="00B058AB">
        <w:rPr>
          <w:rFonts w:ascii="Calibri" w:hAnsi="Calibri"/>
          <w:sz w:val="22"/>
          <w:szCs w:val="22"/>
        </w:rPr>
        <w:t>provided during</w:t>
      </w:r>
      <w:r>
        <w:rPr>
          <w:rFonts w:ascii="Calibri" w:hAnsi="Calibri"/>
          <w:sz w:val="22"/>
          <w:szCs w:val="22"/>
        </w:rPr>
        <w:t xml:space="preserve"> the BBP training.</w:t>
      </w:r>
    </w:p>
    <w:p w14:paraId="5A979B6B" w14:textId="77777777" w:rsidR="001F732E" w:rsidRDefault="001F732E" w:rsidP="000043A1">
      <w:pPr>
        <w:spacing w:line="276" w:lineRule="auto"/>
        <w:ind w:left="746" w:right="99"/>
        <w:rPr>
          <w:rFonts w:ascii="Calibri" w:hAnsi="Calibri"/>
          <w:sz w:val="22"/>
          <w:szCs w:val="22"/>
        </w:rPr>
      </w:pPr>
    </w:p>
    <w:p w14:paraId="6D8A5217" w14:textId="2830CE3C" w:rsidR="00600BC0" w:rsidRDefault="00600BC0" w:rsidP="00600BC0">
      <w:pPr>
        <w:spacing w:line="276" w:lineRule="auto"/>
        <w:ind w:right="99"/>
        <w:rPr>
          <w:rFonts w:ascii="Calibri" w:hAnsi="Calibri"/>
          <w:sz w:val="22"/>
          <w:szCs w:val="22"/>
        </w:rPr>
      </w:pPr>
    </w:p>
    <w:p w14:paraId="204B93BE" w14:textId="77777777" w:rsidR="000043A1" w:rsidRPr="00C74FBB" w:rsidRDefault="000043A1" w:rsidP="000043A1">
      <w:pPr>
        <w:spacing w:line="276" w:lineRule="auto"/>
        <w:ind w:left="746" w:right="99"/>
        <w:rPr>
          <w:rFonts w:ascii="Calibri" w:hAnsi="Calibri"/>
          <w:sz w:val="22"/>
          <w:szCs w:val="22"/>
        </w:rPr>
      </w:pPr>
    </w:p>
    <w:p w14:paraId="3C1D284C" w14:textId="5C324C86" w:rsidR="007567E1" w:rsidRDefault="007567E1" w:rsidP="007567E1">
      <w:pPr>
        <w:spacing w:line="276" w:lineRule="auto"/>
        <w:ind w:left="106"/>
        <w:rPr>
          <w:rFonts w:ascii="Calibri" w:hAnsi="Calibri"/>
          <w:b/>
          <w:bCs/>
          <w:sz w:val="22"/>
          <w:szCs w:val="22"/>
        </w:rPr>
      </w:pPr>
      <w:r w:rsidRPr="00654D83">
        <w:rPr>
          <w:rFonts w:ascii="Calibri" w:hAnsi="Calibri"/>
          <w:b/>
          <w:bCs/>
          <w:sz w:val="22"/>
          <w:szCs w:val="22"/>
        </w:rPr>
        <w:t>Minimum Personal Protective Equipment:</w:t>
      </w:r>
    </w:p>
    <w:p w14:paraId="10AE85F4" w14:textId="77777777" w:rsidR="00654D83" w:rsidRPr="005A27B6" w:rsidRDefault="00654D83" w:rsidP="007567E1">
      <w:pPr>
        <w:spacing w:line="276" w:lineRule="auto"/>
        <w:ind w:left="106"/>
        <w:rPr>
          <w:rFonts w:asciiTheme="minorHAnsi" w:hAnsiTheme="minorHAnsi" w:cstheme="minorHAnsi"/>
          <w:b/>
          <w:bCs/>
          <w:sz w:val="22"/>
          <w:szCs w:val="22"/>
        </w:rPr>
      </w:pPr>
    </w:p>
    <w:p w14:paraId="459FB51D" w14:textId="77777777" w:rsidR="007567E1" w:rsidRPr="005A27B6" w:rsidRDefault="007567E1" w:rsidP="007567E1">
      <w:pPr>
        <w:widowControl w:val="0"/>
        <w:numPr>
          <w:ilvl w:val="1"/>
          <w:numId w:val="1"/>
        </w:numPr>
        <w:tabs>
          <w:tab w:val="left" w:pos="1080"/>
        </w:tabs>
        <w:spacing w:line="276" w:lineRule="auto"/>
        <w:ind w:left="1080" w:right="157" w:hanging="360"/>
        <w:rPr>
          <w:rFonts w:asciiTheme="minorHAnsi" w:hAnsiTheme="minorHAnsi" w:cstheme="minorHAnsi"/>
          <w:sz w:val="22"/>
          <w:szCs w:val="22"/>
        </w:rPr>
      </w:pPr>
      <w:r w:rsidRPr="005A27B6">
        <w:rPr>
          <w:rFonts w:asciiTheme="minorHAnsi" w:hAnsiTheme="minorHAnsi" w:cstheme="minorHAnsi"/>
          <w:sz w:val="22"/>
          <w:szCs w:val="22"/>
        </w:rPr>
        <w:t>Protective laboratory coats or gowns, designated for lab use are worn while in the laboratory. This protective clothing is removed and left in the laboratory before leaving for non-laboratory areas (e.g., cafeteria, library, administrative offices). All protective clothing is either disposed of in the laboratory or laundered by the institution; it should never be taken home by personnel.</w:t>
      </w:r>
    </w:p>
    <w:p w14:paraId="1AF3FAA5" w14:textId="77777777" w:rsidR="007567E1" w:rsidRPr="005A27B6" w:rsidRDefault="007567E1" w:rsidP="007567E1">
      <w:pPr>
        <w:widowControl w:val="0"/>
        <w:tabs>
          <w:tab w:val="left" w:pos="1080"/>
        </w:tabs>
        <w:spacing w:line="276" w:lineRule="auto"/>
        <w:ind w:left="1080" w:right="157"/>
        <w:rPr>
          <w:rFonts w:asciiTheme="minorHAnsi" w:hAnsiTheme="minorHAnsi" w:cstheme="minorHAnsi"/>
          <w:sz w:val="22"/>
          <w:szCs w:val="22"/>
        </w:rPr>
      </w:pPr>
    </w:p>
    <w:p w14:paraId="1CE34F01" w14:textId="77777777" w:rsidR="007567E1" w:rsidRPr="005A27B6" w:rsidRDefault="007567E1" w:rsidP="007567E1">
      <w:pPr>
        <w:widowControl w:val="0"/>
        <w:numPr>
          <w:ilvl w:val="1"/>
          <w:numId w:val="1"/>
        </w:numPr>
        <w:tabs>
          <w:tab w:val="left" w:pos="1080"/>
        </w:tabs>
        <w:spacing w:line="276" w:lineRule="auto"/>
        <w:ind w:left="1080" w:right="99" w:hanging="360"/>
        <w:rPr>
          <w:rFonts w:asciiTheme="minorHAnsi" w:hAnsiTheme="minorHAnsi" w:cstheme="minorHAnsi"/>
          <w:sz w:val="22"/>
          <w:szCs w:val="22"/>
        </w:rPr>
      </w:pPr>
      <w:r w:rsidRPr="005A27B6">
        <w:rPr>
          <w:rFonts w:asciiTheme="minorHAnsi" w:hAnsiTheme="minorHAnsi" w:cstheme="minorHAnsi"/>
          <w:sz w:val="22"/>
          <w:szCs w:val="22"/>
        </w:rPr>
        <w:t>Gloves (latex or nitrile) are worn when hands may contact potentially infectious materials, contaminated surfaces or equipment. Gloves are disposed of when overtly contaminated, and removed when work with infectious materials is completed or when the integrity of the glove is compromised. Disposable gloves are not washed, reused, or used for touching "clean" surfaces (keyboards, telephones, etc.), and they should not be worn outside the lab. Hands are washed following removal of gloves.</w:t>
      </w:r>
    </w:p>
    <w:p w14:paraId="575AA2A4" w14:textId="77777777" w:rsidR="007567E1" w:rsidRPr="005A27B6" w:rsidRDefault="007567E1" w:rsidP="007567E1">
      <w:pPr>
        <w:widowControl w:val="0"/>
        <w:tabs>
          <w:tab w:val="left" w:pos="1080"/>
        </w:tabs>
        <w:spacing w:line="276" w:lineRule="auto"/>
        <w:ind w:right="99"/>
        <w:rPr>
          <w:rFonts w:asciiTheme="minorHAnsi" w:hAnsiTheme="minorHAnsi" w:cstheme="minorHAnsi"/>
          <w:sz w:val="22"/>
          <w:szCs w:val="22"/>
        </w:rPr>
      </w:pPr>
    </w:p>
    <w:p w14:paraId="4B1E6025" w14:textId="7C475487" w:rsidR="007567E1" w:rsidRPr="005A27B6" w:rsidRDefault="007567E1" w:rsidP="007567E1">
      <w:pPr>
        <w:widowControl w:val="0"/>
        <w:numPr>
          <w:ilvl w:val="1"/>
          <w:numId w:val="1"/>
        </w:numPr>
        <w:tabs>
          <w:tab w:val="left" w:pos="1080"/>
        </w:tabs>
        <w:spacing w:line="276" w:lineRule="auto"/>
        <w:ind w:left="1080" w:right="557" w:hanging="360"/>
        <w:rPr>
          <w:rFonts w:asciiTheme="minorHAnsi" w:hAnsiTheme="minorHAnsi" w:cstheme="minorHAnsi"/>
          <w:sz w:val="22"/>
          <w:szCs w:val="22"/>
        </w:rPr>
      </w:pPr>
      <w:r w:rsidRPr="005A27B6">
        <w:rPr>
          <w:rFonts w:asciiTheme="minorHAnsi" w:hAnsiTheme="minorHAnsi" w:cstheme="minorHAnsi"/>
          <w:sz w:val="22"/>
          <w:szCs w:val="22"/>
        </w:rPr>
        <w:t>Face protection (</w:t>
      </w:r>
      <w:r w:rsidR="00B058AB">
        <w:rPr>
          <w:rFonts w:asciiTheme="minorHAnsi" w:hAnsiTheme="minorHAnsi" w:cstheme="minorHAnsi"/>
          <w:sz w:val="22"/>
          <w:szCs w:val="22"/>
        </w:rPr>
        <w:t xml:space="preserve">safety glasses or </w:t>
      </w:r>
      <w:r w:rsidRPr="005A27B6">
        <w:rPr>
          <w:rFonts w:asciiTheme="minorHAnsi" w:hAnsiTheme="minorHAnsi" w:cstheme="minorHAnsi"/>
          <w:sz w:val="22"/>
          <w:szCs w:val="22"/>
        </w:rPr>
        <w:t xml:space="preserve">goggles, </w:t>
      </w:r>
      <w:r w:rsidR="00B058AB">
        <w:rPr>
          <w:rFonts w:asciiTheme="minorHAnsi" w:hAnsiTheme="minorHAnsi" w:cstheme="minorHAnsi"/>
          <w:sz w:val="22"/>
          <w:szCs w:val="22"/>
        </w:rPr>
        <w:t>along with a surgical type mask</w:t>
      </w:r>
      <w:r w:rsidR="001C24A3">
        <w:rPr>
          <w:rFonts w:asciiTheme="minorHAnsi" w:hAnsiTheme="minorHAnsi" w:cstheme="minorHAnsi"/>
          <w:sz w:val="22"/>
          <w:szCs w:val="22"/>
        </w:rPr>
        <w:t>,</w:t>
      </w:r>
      <w:r w:rsidR="00B058AB">
        <w:rPr>
          <w:rFonts w:asciiTheme="minorHAnsi" w:hAnsiTheme="minorHAnsi" w:cstheme="minorHAnsi"/>
          <w:sz w:val="22"/>
          <w:szCs w:val="22"/>
        </w:rPr>
        <w:t xml:space="preserve"> a </w:t>
      </w:r>
      <w:r w:rsidRPr="005A27B6">
        <w:rPr>
          <w:rFonts w:asciiTheme="minorHAnsi" w:hAnsiTheme="minorHAnsi" w:cstheme="minorHAnsi"/>
          <w:sz w:val="22"/>
          <w:szCs w:val="22"/>
        </w:rPr>
        <w:t>face shield or other splatter guard</w:t>
      </w:r>
      <w:r w:rsidR="001C24A3">
        <w:rPr>
          <w:rFonts w:asciiTheme="minorHAnsi" w:hAnsiTheme="minorHAnsi" w:cstheme="minorHAnsi"/>
          <w:sz w:val="22"/>
          <w:szCs w:val="22"/>
        </w:rPr>
        <w:t>, such as a Perspex screen or a fume hood</w:t>
      </w:r>
      <w:r w:rsidRPr="005A27B6">
        <w:rPr>
          <w:rFonts w:asciiTheme="minorHAnsi" w:hAnsiTheme="minorHAnsi" w:cstheme="minorHAnsi"/>
          <w:sz w:val="22"/>
          <w:szCs w:val="22"/>
        </w:rPr>
        <w:t xml:space="preserve">) is used to protect from splashes or sprays of </w:t>
      </w:r>
      <w:r w:rsidR="00B058AB">
        <w:rPr>
          <w:rFonts w:asciiTheme="minorHAnsi" w:hAnsiTheme="minorHAnsi" w:cstheme="minorHAnsi"/>
          <w:sz w:val="22"/>
          <w:szCs w:val="22"/>
        </w:rPr>
        <w:t xml:space="preserve">potentially </w:t>
      </w:r>
      <w:r w:rsidRPr="005A27B6">
        <w:rPr>
          <w:rFonts w:asciiTheme="minorHAnsi" w:hAnsiTheme="minorHAnsi" w:cstheme="minorHAnsi"/>
          <w:sz w:val="22"/>
          <w:szCs w:val="22"/>
        </w:rPr>
        <w:t xml:space="preserve">infectious or other hazardous materials to the face when </w:t>
      </w:r>
      <w:r w:rsidR="001C24A3">
        <w:rPr>
          <w:rFonts w:asciiTheme="minorHAnsi" w:hAnsiTheme="minorHAnsi" w:cstheme="minorHAnsi"/>
          <w:sz w:val="22"/>
          <w:szCs w:val="22"/>
        </w:rPr>
        <w:t xml:space="preserve">working outside of a biosafety cabinet (BSC). Work with samples likely to harbor pathogenic agents or with human and non-human primate </w:t>
      </w:r>
      <w:r w:rsidRPr="005A27B6">
        <w:rPr>
          <w:rFonts w:asciiTheme="minorHAnsi" w:hAnsiTheme="minorHAnsi" w:cstheme="minorHAnsi"/>
          <w:sz w:val="22"/>
          <w:szCs w:val="22"/>
        </w:rPr>
        <w:t xml:space="preserve">cells must be </w:t>
      </w:r>
      <w:r w:rsidR="001C24A3">
        <w:rPr>
          <w:rFonts w:asciiTheme="minorHAnsi" w:hAnsiTheme="minorHAnsi" w:cstheme="minorHAnsi"/>
          <w:sz w:val="22"/>
          <w:szCs w:val="22"/>
        </w:rPr>
        <w:t>conducted within a</w:t>
      </w:r>
      <w:r w:rsidRPr="005A27B6">
        <w:rPr>
          <w:rFonts w:asciiTheme="minorHAnsi" w:hAnsiTheme="minorHAnsi" w:cstheme="minorHAnsi"/>
          <w:sz w:val="22"/>
          <w:szCs w:val="22"/>
        </w:rPr>
        <w:t xml:space="preserve"> BSC</w:t>
      </w:r>
      <w:r w:rsidR="001C24A3">
        <w:rPr>
          <w:rFonts w:asciiTheme="minorHAnsi" w:hAnsiTheme="minorHAnsi" w:cstheme="minorHAnsi"/>
          <w:sz w:val="22"/>
          <w:szCs w:val="22"/>
        </w:rPr>
        <w:t>, to provide operator protection from aerosols and sample protection from contamination</w:t>
      </w:r>
      <w:r w:rsidRPr="005A27B6">
        <w:rPr>
          <w:rFonts w:asciiTheme="minorHAnsi" w:hAnsiTheme="minorHAnsi" w:cstheme="minorHAnsi"/>
          <w:sz w:val="22"/>
          <w:szCs w:val="22"/>
        </w:rPr>
        <w:t>.</w:t>
      </w:r>
    </w:p>
    <w:p w14:paraId="675B3ADD" w14:textId="77777777" w:rsidR="007567E1" w:rsidRPr="00C74FBB" w:rsidRDefault="007567E1" w:rsidP="007567E1">
      <w:pPr>
        <w:tabs>
          <w:tab w:val="left" w:pos="1080"/>
        </w:tabs>
        <w:spacing w:line="276" w:lineRule="auto"/>
        <w:ind w:left="1080" w:hanging="360"/>
        <w:rPr>
          <w:rFonts w:ascii="Calibri" w:hAnsi="Calibri"/>
          <w:sz w:val="22"/>
          <w:szCs w:val="22"/>
        </w:rPr>
      </w:pPr>
    </w:p>
    <w:p w14:paraId="31EE1ECE" w14:textId="334C6F91" w:rsidR="007567E1" w:rsidRDefault="005A27B6" w:rsidP="005A27B6">
      <w:pPr>
        <w:tabs>
          <w:tab w:val="left" w:pos="1080"/>
        </w:tabs>
        <w:spacing w:line="276" w:lineRule="auto"/>
        <w:rPr>
          <w:rFonts w:ascii="Calibri" w:hAnsi="Calibri"/>
          <w:b/>
          <w:bCs/>
          <w:sz w:val="22"/>
          <w:szCs w:val="22"/>
        </w:rPr>
      </w:pPr>
      <w:r w:rsidRPr="005A27B6">
        <w:rPr>
          <w:rFonts w:ascii="Calibri" w:hAnsi="Calibri"/>
          <w:b/>
          <w:bCs/>
          <w:sz w:val="22"/>
          <w:szCs w:val="22"/>
        </w:rPr>
        <w:t>Laboratory Procedures:</w:t>
      </w:r>
      <w:r>
        <w:rPr>
          <w:rFonts w:ascii="Calibri" w:hAnsi="Calibri"/>
          <w:b/>
          <w:bCs/>
          <w:sz w:val="22"/>
          <w:szCs w:val="22"/>
        </w:rPr>
        <w:t xml:space="preserve"> </w:t>
      </w:r>
    </w:p>
    <w:p w14:paraId="1660D11D" w14:textId="1B430B4C" w:rsidR="00E4151D" w:rsidRDefault="00E4151D" w:rsidP="005A27B6">
      <w:pPr>
        <w:tabs>
          <w:tab w:val="left" w:pos="1080"/>
        </w:tabs>
        <w:spacing w:line="276" w:lineRule="auto"/>
        <w:rPr>
          <w:rFonts w:ascii="Calibri" w:hAnsi="Calibri"/>
          <w:b/>
          <w:bCs/>
          <w:sz w:val="22"/>
          <w:szCs w:val="22"/>
        </w:rPr>
      </w:pPr>
    </w:p>
    <w:p w14:paraId="76151A34" w14:textId="63D93661" w:rsidR="00E4151D" w:rsidRPr="00C93E7B" w:rsidRDefault="00E4151D" w:rsidP="00E4151D">
      <w:pPr>
        <w:pStyle w:val="Default"/>
        <w:rPr>
          <w:sz w:val="22"/>
          <w:szCs w:val="22"/>
        </w:rPr>
      </w:pPr>
      <w:r>
        <w:rPr>
          <w:b/>
          <w:bCs/>
          <w:sz w:val="22"/>
          <w:szCs w:val="22"/>
        </w:rPr>
        <w:tab/>
      </w:r>
      <w:r w:rsidRPr="00C93E7B">
        <w:rPr>
          <w:sz w:val="22"/>
          <w:szCs w:val="22"/>
        </w:rPr>
        <w:t xml:space="preserve">Detailed laboratory practices for work at BSL-2 are described in the </w:t>
      </w:r>
      <w:hyperlink r:id="rId11" w:history="1">
        <w:r w:rsidR="00CF3D96" w:rsidRPr="00CF3D96">
          <w:rPr>
            <w:rStyle w:val="Hyperlink"/>
            <w:sz w:val="22"/>
            <w:szCs w:val="22"/>
          </w:rPr>
          <w:t>University of Utah Biosafety Manual</w:t>
        </w:r>
      </w:hyperlink>
      <w:r w:rsidRPr="00C93E7B">
        <w:rPr>
          <w:sz w:val="22"/>
          <w:szCs w:val="22"/>
        </w:rPr>
        <w:t>, and all workers should be familiar with those practices. A summary of the most pertinent procedures is provided below.</w:t>
      </w:r>
    </w:p>
    <w:p w14:paraId="17209B9B" w14:textId="2D505C50" w:rsidR="007567E1" w:rsidRDefault="007567E1" w:rsidP="007567E1">
      <w:pPr>
        <w:tabs>
          <w:tab w:val="left" w:pos="1080"/>
        </w:tabs>
        <w:spacing w:line="276" w:lineRule="auto"/>
        <w:ind w:left="1080" w:hanging="360"/>
        <w:rPr>
          <w:rFonts w:ascii="Calibri" w:hAnsi="Calibri"/>
          <w:sz w:val="22"/>
          <w:szCs w:val="22"/>
        </w:rPr>
      </w:pPr>
    </w:p>
    <w:p w14:paraId="7EF22347" w14:textId="5782AA7D" w:rsidR="005A27B6" w:rsidRDefault="005A27B6" w:rsidP="005A27B6">
      <w:pPr>
        <w:pStyle w:val="ListParagraph"/>
        <w:numPr>
          <w:ilvl w:val="0"/>
          <w:numId w:val="3"/>
        </w:numPr>
        <w:tabs>
          <w:tab w:val="left" w:pos="1080"/>
        </w:tabs>
        <w:spacing w:line="276" w:lineRule="auto"/>
      </w:pPr>
      <w:r>
        <w:t xml:space="preserve">All work </w:t>
      </w:r>
      <w:r w:rsidR="001C24A3">
        <w:t xml:space="preserve">with samples that are likely to harbor pathogenic agents must </w:t>
      </w:r>
      <w:r>
        <w:t>be performed in a biosafety cabinet.</w:t>
      </w:r>
    </w:p>
    <w:p w14:paraId="2AAA8B66" w14:textId="0062EF2B" w:rsidR="001C24A3" w:rsidRDefault="001C24A3" w:rsidP="000D5563">
      <w:pPr>
        <w:pStyle w:val="ListParagraph"/>
        <w:numPr>
          <w:ilvl w:val="1"/>
          <w:numId w:val="3"/>
        </w:numPr>
        <w:tabs>
          <w:tab w:val="left" w:pos="1080"/>
        </w:tabs>
        <w:spacing w:line="276" w:lineRule="auto"/>
      </w:pPr>
      <w:r>
        <w:t xml:space="preserve">Work with routine human samples may be conducted on a bench as long as splash (face) protection is employed, as described above. </w:t>
      </w:r>
    </w:p>
    <w:p w14:paraId="14D27F44" w14:textId="6A4C6E12" w:rsidR="005A27B6" w:rsidRDefault="005A27B6" w:rsidP="005A27B6">
      <w:pPr>
        <w:pStyle w:val="ListParagraph"/>
        <w:numPr>
          <w:ilvl w:val="0"/>
          <w:numId w:val="3"/>
        </w:numPr>
        <w:tabs>
          <w:tab w:val="left" w:pos="1080"/>
        </w:tabs>
        <w:spacing w:line="276" w:lineRule="auto"/>
      </w:pPr>
      <w:r>
        <w:t xml:space="preserve">All potentially infectious material must be decontaminated by autoclaving or disinfection with an appropriate disinfectant (typically a freshly prepared 1:10 dilution of bleach) before discarding. </w:t>
      </w:r>
    </w:p>
    <w:p w14:paraId="1127A5E6" w14:textId="42367ACA" w:rsidR="005A27B6" w:rsidRDefault="005A27B6" w:rsidP="005A27B6">
      <w:pPr>
        <w:pStyle w:val="ListParagraph"/>
        <w:numPr>
          <w:ilvl w:val="0"/>
          <w:numId w:val="3"/>
        </w:numPr>
        <w:tabs>
          <w:tab w:val="left" w:pos="1080"/>
        </w:tabs>
        <w:spacing w:line="276" w:lineRule="auto"/>
      </w:pPr>
      <w:r w:rsidRPr="005A27B6">
        <w:t>Eating, drinking, smoking, applying cosmetics and contact lenses, or storage of foods is not permitted in the laboratory.</w:t>
      </w:r>
    </w:p>
    <w:p w14:paraId="3F1167B5" w14:textId="2BF63AFE" w:rsidR="005A27B6" w:rsidRPr="000D5563" w:rsidRDefault="005A27B6" w:rsidP="005A27B6">
      <w:pPr>
        <w:pStyle w:val="ListParagraph"/>
        <w:numPr>
          <w:ilvl w:val="0"/>
          <w:numId w:val="3"/>
        </w:numPr>
        <w:tabs>
          <w:tab w:val="left" w:pos="1080"/>
        </w:tabs>
        <w:spacing w:line="276" w:lineRule="auto"/>
      </w:pPr>
      <w:r w:rsidRPr="000D5563">
        <w:t>Personnel must wear at least the minimum PPE described in this SOP in conjunction with long pants and solid, closed shoes. PPE must be removed when leaving the laboratory.</w:t>
      </w:r>
    </w:p>
    <w:p w14:paraId="79A19764" w14:textId="19905C26" w:rsidR="005A27B6" w:rsidRPr="000D5563" w:rsidRDefault="005A27B6" w:rsidP="000D5563">
      <w:pPr>
        <w:pStyle w:val="ListParagraph"/>
        <w:numPr>
          <w:ilvl w:val="0"/>
          <w:numId w:val="3"/>
        </w:numPr>
        <w:tabs>
          <w:tab w:val="left" w:pos="1080"/>
        </w:tabs>
        <w:spacing w:line="276" w:lineRule="auto"/>
      </w:pPr>
      <w:r w:rsidRPr="000D5563">
        <w:t xml:space="preserve">Personnel must wash their hands and wrists with soap and water after handling potentially </w:t>
      </w:r>
      <w:r w:rsidRPr="000D5563">
        <w:lastRenderedPageBreak/>
        <w:t>infectious material, removal of gloves, and before leaving the laboratory.</w:t>
      </w:r>
    </w:p>
    <w:p w14:paraId="2041F140" w14:textId="6F6A71E0" w:rsidR="005A27B6" w:rsidRPr="000D5563" w:rsidRDefault="00DD6A0D" w:rsidP="005A27B6">
      <w:pPr>
        <w:pStyle w:val="ListParagraph"/>
        <w:numPr>
          <w:ilvl w:val="0"/>
          <w:numId w:val="3"/>
        </w:numPr>
        <w:tabs>
          <w:tab w:val="left" w:pos="1080"/>
        </w:tabs>
        <w:spacing w:line="276" w:lineRule="auto"/>
      </w:pPr>
      <w:r w:rsidRPr="000D5563">
        <w:t xml:space="preserve">The laboratory must have controlled access when work with human materials is being performed. </w:t>
      </w:r>
    </w:p>
    <w:p w14:paraId="02EB92AB" w14:textId="75D82D09" w:rsidR="00DD6A0D" w:rsidRPr="000D5563" w:rsidRDefault="00DD6A0D" w:rsidP="00DD6A0D">
      <w:pPr>
        <w:pStyle w:val="ListParagraph"/>
        <w:numPr>
          <w:ilvl w:val="1"/>
          <w:numId w:val="3"/>
        </w:numPr>
        <w:tabs>
          <w:tab w:val="left" w:pos="1080"/>
        </w:tabs>
        <w:spacing w:line="276" w:lineRule="auto"/>
      </w:pPr>
      <w:r w:rsidRPr="000D5563">
        <w:t>Keep laboratory doors and windows closed while work is in progress.</w:t>
      </w:r>
    </w:p>
    <w:p w14:paraId="01449A33" w14:textId="2B84645E" w:rsidR="00DD6A0D" w:rsidRPr="000D5563" w:rsidRDefault="00DD6A0D" w:rsidP="00DD6A0D">
      <w:pPr>
        <w:pStyle w:val="ListParagraph"/>
        <w:numPr>
          <w:ilvl w:val="1"/>
          <w:numId w:val="3"/>
        </w:numPr>
        <w:tabs>
          <w:tab w:val="left" w:pos="1080"/>
        </w:tabs>
        <w:spacing w:line="276" w:lineRule="auto"/>
      </w:pPr>
      <w:r w:rsidRPr="000D5563">
        <w:t xml:space="preserve">Post a </w:t>
      </w:r>
      <w:r w:rsidR="00C329AF" w:rsidRPr="000D5563">
        <w:t xml:space="preserve">caution </w:t>
      </w:r>
      <w:r w:rsidRPr="000D5563">
        <w:t xml:space="preserve">sign when human material is present. </w:t>
      </w:r>
      <w:r w:rsidR="001C24A3" w:rsidRPr="000D5563">
        <w:t xml:space="preserve">Caution </w:t>
      </w:r>
      <w:r w:rsidRPr="000D5563">
        <w:t>signs</w:t>
      </w:r>
      <w:r w:rsidR="001C24A3" w:rsidRPr="000D5563">
        <w:t>,</w:t>
      </w:r>
      <w:r w:rsidRPr="000D5563">
        <w:t xml:space="preserve"> </w:t>
      </w:r>
      <w:r w:rsidR="001C24A3" w:rsidRPr="000D5563">
        <w:t xml:space="preserve">with the Biohazard symbol, </w:t>
      </w:r>
      <w:r w:rsidRPr="000D5563">
        <w:t xml:space="preserve">can be obtained from </w:t>
      </w:r>
      <w:hyperlink r:id="rId12" w:history="1">
        <w:r w:rsidRPr="000D5563">
          <w:rPr>
            <w:rStyle w:val="Hyperlink"/>
          </w:rPr>
          <w:t>EHS</w:t>
        </w:r>
      </w:hyperlink>
      <w:r w:rsidRPr="000D5563">
        <w:t>.</w:t>
      </w:r>
    </w:p>
    <w:p w14:paraId="1F59FE42" w14:textId="0E6A50C9" w:rsidR="00A27A70" w:rsidRPr="000D5563" w:rsidRDefault="00C329AF" w:rsidP="000D5563">
      <w:pPr>
        <w:pStyle w:val="ListParagraph"/>
        <w:numPr>
          <w:ilvl w:val="2"/>
          <w:numId w:val="3"/>
        </w:numPr>
        <w:tabs>
          <w:tab w:val="left" w:pos="1080"/>
        </w:tabs>
        <w:spacing w:line="276" w:lineRule="auto"/>
      </w:pPr>
      <w:r w:rsidRPr="000D5563">
        <w:t>Work with samples likely to harbor a pathogen will require a Warning sign; contact the Biosafety Office (Biosafety@EHS.Utah.edu)</w:t>
      </w:r>
    </w:p>
    <w:p w14:paraId="4A3FA90C" w14:textId="61A2984B" w:rsidR="00E4151D" w:rsidRPr="000D5563" w:rsidRDefault="00E4151D" w:rsidP="00DD6A0D">
      <w:pPr>
        <w:pStyle w:val="ListParagraph"/>
        <w:numPr>
          <w:ilvl w:val="1"/>
          <w:numId w:val="3"/>
        </w:numPr>
        <w:tabs>
          <w:tab w:val="left" w:pos="1080"/>
        </w:tabs>
        <w:spacing w:line="276" w:lineRule="auto"/>
      </w:pPr>
      <w:r w:rsidRPr="000D5563">
        <w:t>Limit access to the laboratory during procedures involving human materials.</w:t>
      </w:r>
    </w:p>
    <w:p w14:paraId="35B9724D" w14:textId="11B749DD" w:rsidR="00C93E7B" w:rsidRDefault="00C93E7B" w:rsidP="00C93E7B">
      <w:pPr>
        <w:tabs>
          <w:tab w:val="left" w:pos="1080"/>
        </w:tabs>
        <w:spacing w:line="276" w:lineRule="auto"/>
      </w:pPr>
    </w:p>
    <w:p w14:paraId="3F9957F6" w14:textId="77B36458" w:rsidR="00C93E7B" w:rsidRDefault="00C93E7B" w:rsidP="00C93E7B">
      <w:pPr>
        <w:tabs>
          <w:tab w:val="left" w:pos="1080"/>
        </w:tabs>
        <w:spacing w:line="276" w:lineRule="auto"/>
        <w:rPr>
          <w:rFonts w:asciiTheme="minorHAnsi" w:hAnsiTheme="minorHAnsi" w:cstheme="minorHAnsi"/>
          <w:b/>
          <w:bCs/>
          <w:sz w:val="22"/>
          <w:szCs w:val="22"/>
        </w:rPr>
      </w:pPr>
      <w:r w:rsidRPr="00C93E7B">
        <w:rPr>
          <w:rFonts w:asciiTheme="minorHAnsi" w:hAnsiTheme="minorHAnsi" w:cstheme="minorHAnsi"/>
          <w:b/>
          <w:bCs/>
          <w:sz w:val="22"/>
          <w:szCs w:val="22"/>
        </w:rPr>
        <w:t>Spills and Exposures</w:t>
      </w:r>
      <w:r w:rsidR="00AD60B9">
        <w:rPr>
          <w:rFonts w:asciiTheme="minorHAnsi" w:hAnsiTheme="minorHAnsi" w:cstheme="minorHAnsi"/>
          <w:b/>
          <w:bCs/>
          <w:sz w:val="22"/>
          <w:szCs w:val="22"/>
        </w:rPr>
        <w:t xml:space="preserve"> (These procedures must be posted in the BSL-2 laboratory). </w:t>
      </w:r>
    </w:p>
    <w:p w14:paraId="381D788F" w14:textId="5DA6E8C7" w:rsidR="004C0EA9" w:rsidRDefault="004C0EA9" w:rsidP="00C93E7B">
      <w:pPr>
        <w:tabs>
          <w:tab w:val="left" w:pos="1080"/>
        </w:tabs>
        <w:spacing w:line="276" w:lineRule="auto"/>
        <w:rPr>
          <w:rFonts w:asciiTheme="minorHAnsi" w:hAnsiTheme="minorHAnsi" w:cstheme="minorHAnsi"/>
          <w:b/>
          <w:bCs/>
          <w:sz w:val="22"/>
          <w:szCs w:val="22"/>
        </w:rPr>
      </w:pPr>
    </w:p>
    <w:p w14:paraId="673D0A89" w14:textId="1FA9FA8D" w:rsidR="004C0EA9" w:rsidRPr="004C0EA9" w:rsidRDefault="004C0EA9" w:rsidP="00C93E7B">
      <w:pPr>
        <w:tabs>
          <w:tab w:val="left" w:pos="1080"/>
        </w:tabs>
        <w:spacing w:line="276" w:lineRule="auto"/>
        <w:rPr>
          <w:rFonts w:asciiTheme="minorHAnsi" w:hAnsiTheme="minorHAnsi" w:cstheme="minorHAnsi"/>
          <w:sz w:val="22"/>
          <w:szCs w:val="22"/>
        </w:rPr>
      </w:pPr>
      <w:r w:rsidRPr="004C0EA9">
        <w:rPr>
          <w:rFonts w:asciiTheme="minorHAnsi" w:hAnsiTheme="minorHAnsi" w:cstheme="minorHAnsi"/>
          <w:sz w:val="22"/>
          <w:szCs w:val="22"/>
        </w:rPr>
        <w:t xml:space="preserve">*Bleach </w:t>
      </w:r>
      <w:r>
        <w:rPr>
          <w:rFonts w:asciiTheme="minorHAnsi" w:hAnsiTheme="minorHAnsi" w:cstheme="minorHAnsi"/>
          <w:sz w:val="22"/>
          <w:szCs w:val="22"/>
        </w:rPr>
        <w:t>(</w:t>
      </w:r>
      <w:r w:rsidR="00C329AF">
        <w:rPr>
          <w:rFonts w:asciiTheme="minorHAnsi" w:hAnsiTheme="minorHAnsi" w:cstheme="minorHAnsi"/>
          <w:sz w:val="22"/>
          <w:szCs w:val="22"/>
        </w:rPr>
        <w:t xml:space="preserve">diluted 1:10 with cold water, creating a </w:t>
      </w:r>
      <w:r>
        <w:rPr>
          <w:rFonts w:asciiTheme="minorHAnsi" w:hAnsiTheme="minorHAnsi" w:cstheme="minorHAnsi"/>
          <w:sz w:val="22"/>
          <w:szCs w:val="22"/>
        </w:rPr>
        <w:t>0.5% sodium hypochlorite</w:t>
      </w:r>
      <w:r w:rsidR="00C329AF">
        <w:rPr>
          <w:rFonts w:asciiTheme="minorHAnsi" w:hAnsiTheme="minorHAnsi" w:cstheme="minorHAnsi"/>
          <w:sz w:val="22"/>
          <w:szCs w:val="22"/>
        </w:rPr>
        <w:t xml:space="preserve"> solution</w:t>
      </w:r>
      <w:r>
        <w:rPr>
          <w:rFonts w:asciiTheme="minorHAnsi" w:hAnsiTheme="minorHAnsi" w:cstheme="minorHAnsi"/>
          <w:sz w:val="22"/>
          <w:szCs w:val="22"/>
        </w:rPr>
        <w:t xml:space="preserve">) </w:t>
      </w:r>
      <w:r w:rsidRPr="004C0EA9">
        <w:rPr>
          <w:rFonts w:asciiTheme="minorHAnsi" w:hAnsiTheme="minorHAnsi" w:cstheme="minorHAnsi"/>
          <w:sz w:val="22"/>
          <w:szCs w:val="22"/>
        </w:rPr>
        <w:t xml:space="preserve">is an appropriate disinfectant for decontaminating human cells and samples. Alternatively, </w:t>
      </w:r>
      <w:hyperlink r:id="rId13" w:history="1">
        <w:r w:rsidRPr="00C329AF">
          <w:rPr>
            <w:rStyle w:val="Hyperlink"/>
            <w:rFonts w:asciiTheme="minorHAnsi" w:hAnsiTheme="minorHAnsi" w:cstheme="minorHAnsi"/>
            <w:sz w:val="22"/>
            <w:szCs w:val="22"/>
          </w:rPr>
          <w:t>another EPA-approved disinfectant</w:t>
        </w:r>
      </w:hyperlink>
      <w:r w:rsidRPr="004C0EA9">
        <w:rPr>
          <w:rFonts w:asciiTheme="minorHAnsi" w:hAnsiTheme="minorHAnsi" w:cstheme="minorHAnsi"/>
          <w:sz w:val="22"/>
          <w:szCs w:val="22"/>
        </w:rPr>
        <w:t xml:space="preserve"> can be used. </w:t>
      </w:r>
    </w:p>
    <w:p w14:paraId="6F99F8FF" w14:textId="553CD08E" w:rsidR="007567E1" w:rsidRPr="00C93E7B" w:rsidRDefault="007567E1" w:rsidP="007567E1">
      <w:pPr>
        <w:rPr>
          <w:rFonts w:asciiTheme="minorHAnsi" w:hAnsiTheme="minorHAnsi" w:cstheme="minorHAnsi"/>
          <w:sz w:val="22"/>
          <w:szCs w:val="22"/>
        </w:rPr>
      </w:pPr>
    </w:p>
    <w:p w14:paraId="403E2F33" w14:textId="77777777" w:rsidR="00C93E7B" w:rsidRPr="00C93E7B" w:rsidRDefault="00C93E7B" w:rsidP="00C93E7B">
      <w:pPr>
        <w:numPr>
          <w:ilvl w:val="0"/>
          <w:numId w:val="5"/>
        </w:numPr>
        <w:spacing w:line="276" w:lineRule="auto"/>
        <w:ind w:left="360"/>
        <w:contextualSpacing/>
        <w:rPr>
          <w:rFonts w:asciiTheme="minorHAnsi" w:hAnsiTheme="minorHAnsi" w:cstheme="minorHAnsi"/>
          <w:sz w:val="22"/>
          <w:szCs w:val="22"/>
        </w:rPr>
      </w:pPr>
      <w:r w:rsidRPr="00C93E7B">
        <w:rPr>
          <w:rFonts w:asciiTheme="minorHAnsi" w:hAnsiTheme="minorHAnsi" w:cstheme="minorHAnsi"/>
          <w:sz w:val="22"/>
          <w:szCs w:val="22"/>
        </w:rPr>
        <w:t>Spills inside of a Biosafety Cabinet</w:t>
      </w:r>
    </w:p>
    <w:p w14:paraId="2CA59736" w14:textId="77777777"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Stop work.</w:t>
      </w:r>
    </w:p>
    <w:p w14:paraId="67A6CABB" w14:textId="77777777"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If you are splashed by the material, change PPE. Always change gloves.</w:t>
      </w:r>
    </w:p>
    <w:p w14:paraId="04BC5927" w14:textId="77777777"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Keep the biosafety cabinet running.</w:t>
      </w:r>
    </w:p>
    <w:p w14:paraId="48B4F240" w14:textId="77777777"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Contain the spill by covering with paper towels (to avoid splashes or aerosols).</w:t>
      </w:r>
    </w:p>
    <w:p w14:paraId="0470F3BC" w14:textId="706F739D"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 xml:space="preserve">Saturate spill with </w:t>
      </w:r>
      <w:r>
        <w:rPr>
          <w:rFonts w:asciiTheme="minorHAnsi" w:hAnsiTheme="minorHAnsi" w:cstheme="minorHAnsi"/>
          <w:sz w:val="22"/>
          <w:szCs w:val="22"/>
        </w:rPr>
        <w:t xml:space="preserve">freshly prepared </w:t>
      </w:r>
      <w:r>
        <w:rPr>
          <w:rFonts w:asciiTheme="minorHAnsi" w:hAnsiTheme="minorHAnsi" w:cstheme="minorHAnsi"/>
          <w:color w:val="000000"/>
          <w:sz w:val="22"/>
          <w:szCs w:val="22"/>
        </w:rPr>
        <w:t>1:10 dilution of bleach</w:t>
      </w:r>
      <w:r w:rsidR="00AD60B9">
        <w:rPr>
          <w:rFonts w:asciiTheme="minorHAnsi" w:hAnsiTheme="minorHAnsi" w:cstheme="minorHAnsi"/>
          <w:color w:val="000000"/>
          <w:sz w:val="22"/>
          <w:szCs w:val="22"/>
        </w:rPr>
        <w:t>*</w:t>
      </w:r>
      <w:r w:rsidRPr="00C93E7B">
        <w:rPr>
          <w:rFonts w:asciiTheme="minorHAnsi" w:hAnsiTheme="minorHAnsi" w:cstheme="minorHAnsi"/>
          <w:i/>
          <w:sz w:val="22"/>
          <w:szCs w:val="22"/>
        </w:rPr>
        <w:t xml:space="preserve">. </w:t>
      </w:r>
      <w:r w:rsidRPr="00C93E7B">
        <w:rPr>
          <w:rFonts w:asciiTheme="minorHAnsi" w:hAnsiTheme="minorHAnsi" w:cstheme="minorHAnsi"/>
          <w:sz w:val="22"/>
          <w:szCs w:val="22"/>
        </w:rPr>
        <w:t>Let sit for 20</w:t>
      </w:r>
      <w:r>
        <w:rPr>
          <w:rFonts w:asciiTheme="minorHAnsi" w:hAnsiTheme="minorHAnsi" w:cstheme="minorHAnsi"/>
          <w:sz w:val="22"/>
          <w:szCs w:val="22"/>
        </w:rPr>
        <w:t>-</w:t>
      </w:r>
      <w:r w:rsidRPr="00C93E7B">
        <w:rPr>
          <w:rFonts w:asciiTheme="minorHAnsi" w:hAnsiTheme="minorHAnsi" w:cstheme="minorHAnsi"/>
          <w:sz w:val="22"/>
          <w:szCs w:val="22"/>
        </w:rPr>
        <w:t xml:space="preserve">minute exposure time. </w:t>
      </w:r>
    </w:p>
    <w:p w14:paraId="7C432678" w14:textId="7EB352CE" w:rsidR="00C93E7B" w:rsidRPr="00C93E7B" w:rsidRDefault="00C93E7B" w:rsidP="00C93E7B">
      <w:pPr>
        <w:numPr>
          <w:ilvl w:val="2"/>
          <w:numId w:val="5"/>
        </w:numPr>
        <w:spacing w:line="276" w:lineRule="auto"/>
        <w:contextualSpacing/>
        <w:rPr>
          <w:rFonts w:asciiTheme="minorHAnsi" w:hAnsiTheme="minorHAnsi" w:cstheme="minorHAnsi"/>
          <w:sz w:val="22"/>
          <w:szCs w:val="22"/>
        </w:rPr>
      </w:pPr>
      <w:r w:rsidRPr="00C93E7B">
        <w:rPr>
          <w:rFonts w:asciiTheme="minorHAnsi" w:hAnsiTheme="minorHAnsi" w:cstheme="minorHAnsi"/>
          <w:color w:val="000000"/>
          <w:sz w:val="22"/>
          <w:szCs w:val="22"/>
        </w:rPr>
        <w:t>For large spills (greater than 10ml) use undiluted bleach</w:t>
      </w:r>
      <w:r w:rsidR="00AD60B9">
        <w:rPr>
          <w:rFonts w:asciiTheme="minorHAnsi" w:hAnsiTheme="minorHAnsi" w:cstheme="minorHAnsi"/>
          <w:color w:val="000000"/>
          <w:sz w:val="22"/>
          <w:szCs w:val="22"/>
        </w:rPr>
        <w:t>*</w:t>
      </w:r>
      <w:r w:rsidRPr="00C93E7B">
        <w:rPr>
          <w:rFonts w:asciiTheme="minorHAnsi" w:hAnsiTheme="minorHAnsi" w:cstheme="minorHAnsi"/>
          <w:color w:val="000000"/>
          <w:sz w:val="22"/>
          <w:szCs w:val="22"/>
        </w:rPr>
        <w:t xml:space="preserve"> or disinfectant.</w:t>
      </w:r>
    </w:p>
    <w:p w14:paraId="3727CC1F" w14:textId="77777777" w:rsidR="00C93E7B" w:rsidRPr="00C93E7B" w:rsidRDefault="00C93E7B" w:rsidP="00C93E7B">
      <w:pPr>
        <w:numPr>
          <w:ilvl w:val="2"/>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In the event of a spill into the drip pan/catch basin, add an equal volume of disinfectant and wait for 20 minutes to clean up the disinfected material.</w:t>
      </w:r>
    </w:p>
    <w:p w14:paraId="258A16A7" w14:textId="2FED1478" w:rsid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Wipe up spill, disposing of towels in biohazard bag.</w:t>
      </w:r>
    </w:p>
    <w:p w14:paraId="35370A4D" w14:textId="796ADCFE" w:rsidR="00C00179" w:rsidRPr="00C93E7B" w:rsidRDefault="00C00179" w:rsidP="00C00179">
      <w:pPr>
        <w:numPr>
          <w:ilvl w:val="2"/>
          <w:numId w:val="5"/>
        </w:numPr>
        <w:spacing w:line="276" w:lineRule="auto"/>
        <w:contextualSpacing/>
        <w:rPr>
          <w:rFonts w:asciiTheme="minorHAnsi" w:hAnsiTheme="minorHAnsi" w:cstheme="minorHAnsi"/>
          <w:sz w:val="22"/>
          <w:szCs w:val="22"/>
        </w:rPr>
      </w:pPr>
      <w:r>
        <w:rPr>
          <w:rFonts w:asciiTheme="minorHAnsi" w:hAnsiTheme="minorHAnsi" w:cstheme="minorHAnsi"/>
          <w:sz w:val="22"/>
          <w:szCs w:val="22"/>
        </w:rPr>
        <w:t>If the biohazard bag is to be autoclaved, liquid bleach should be neutralized with sodium thiosulfate after it is used for disinfection. A good rule of thumb is if your absorbent towels are dripping wet, the bleach should be neutralized prior to autoclaving.</w:t>
      </w:r>
    </w:p>
    <w:p w14:paraId="3D93D717" w14:textId="407CA3F2"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 xml:space="preserve">Spray spill area with </w:t>
      </w:r>
      <w:r w:rsidR="00AD60B9">
        <w:rPr>
          <w:rFonts w:asciiTheme="minorHAnsi" w:hAnsiTheme="minorHAnsi" w:cstheme="minorHAnsi"/>
          <w:sz w:val="22"/>
          <w:szCs w:val="22"/>
        </w:rPr>
        <w:t xml:space="preserve">freshly prepared </w:t>
      </w:r>
      <w:r w:rsidR="00AD60B9">
        <w:rPr>
          <w:rFonts w:asciiTheme="minorHAnsi" w:hAnsiTheme="minorHAnsi" w:cstheme="minorHAnsi"/>
          <w:color w:val="000000"/>
          <w:sz w:val="22"/>
          <w:szCs w:val="22"/>
        </w:rPr>
        <w:t>1:10 dilution of bleach*</w:t>
      </w:r>
      <w:r w:rsidRPr="00C93E7B">
        <w:rPr>
          <w:rFonts w:asciiTheme="minorHAnsi" w:hAnsiTheme="minorHAnsi" w:cstheme="minorHAnsi"/>
          <w:i/>
          <w:sz w:val="22"/>
          <w:szCs w:val="22"/>
        </w:rPr>
        <w:t xml:space="preserve">. </w:t>
      </w:r>
      <w:r w:rsidRPr="00C93E7B">
        <w:rPr>
          <w:rFonts w:asciiTheme="minorHAnsi" w:hAnsiTheme="minorHAnsi" w:cstheme="minorHAnsi"/>
          <w:sz w:val="22"/>
          <w:szCs w:val="22"/>
        </w:rPr>
        <w:t>Allow to air dry.</w:t>
      </w:r>
    </w:p>
    <w:p w14:paraId="6BAF5FB3" w14:textId="08AA3F2D"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 xml:space="preserve">Disinfect all other materials used in the biosafety cabinet by disinfecting the surface with </w:t>
      </w:r>
      <w:r w:rsidR="00AD60B9">
        <w:rPr>
          <w:rFonts w:asciiTheme="minorHAnsi" w:hAnsiTheme="minorHAnsi" w:cstheme="minorHAnsi"/>
          <w:sz w:val="22"/>
          <w:szCs w:val="22"/>
        </w:rPr>
        <w:t xml:space="preserve">freshly prepared </w:t>
      </w:r>
      <w:r w:rsidR="00AD60B9">
        <w:rPr>
          <w:rFonts w:asciiTheme="minorHAnsi" w:hAnsiTheme="minorHAnsi" w:cstheme="minorHAnsi"/>
          <w:color w:val="000000"/>
          <w:sz w:val="22"/>
          <w:szCs w:val="22"/>
        </w:rPr>
        <w:t>1:10 dilution of bleach*</w:t>
      </w:r>
      <w:r w:rsidRPr="00C93E7B">
        <w:rPr>
          <w:rFonts w:asciiTheme="minorHAnsi" w:hAnsiTheme="minorHAnsi" w:cstheme="minorHAnsi"/>
          <w:i/>
          <w:sz w:val="22"/>
          <w:szCs w:val="22"/>
        </w:rPr>
        <w:t xml:space="preserve"> </w:t>
      </w:r>
      <w:r w:rsidRPr="00C93E7B">
        <w:rPr>
          <w:rFonts w:asciiTheme="minorHAnsi" w:hAnsiTheme="minorHAnsi" w:cstheme="minorHAnsi"/>
          <w:sz w:val="22"/>
          <w:szCs w:val="22"/>
        </w:rPr>
        <w:t xml:space="preserve">with a 20-minute contact time. Do not attempt to disinfect contaminated cardboard or other paper items that absorb liquid: contaminated items should be disposed of. </w:t>
      </w:r>
    </w:p>
    <w:p w14:paraId="41F747C5" w14:textId="24836CBA" w:rsidR="00C93E7B" w:rsidRPr="00C93E7B" w:rsidRDefault="00AD60B9" w:rsidP="00C93E7B">
      <w:pPr>
        <w:numPr>
          <w:ilvl w:val="1"/>
          <w:numId w:val="5"/>
        </w:numPr>
        <w:spacing w:line="276" w:lineRule="auto"/>
        <w:contextualSpacing/>
        <w:rPr>
          <w:rFonts w:asciiTheme="minorHAnsi" w:hAnsiTheme="minorHAnsi" w:cstheme="minorHAnsi"/>
          <w:sz w:val="22"/>
          <w:szCs w:val="22"/>
        </w:rPr>
      </w:pPr>
      <w:r>
        <w:rPr>
          <w:rFonts w:asciiTheme="minorHAnsi" w:hAnsiTheme="minorHAnsi" w:cstheme="minorHAnsi"/>
          <w:sz w:val="22"/>
          <w:szCs w:val="22"/>
        </w:rPr>
        <w:t>W</w:t>
      </w:r>
      <w:r w:rsidR="00C93E7B" w:rsidRPr="00C93E7B">
        <w:rPr>
          <w:rFonts w:asciiTheme="minorHAnsi" w:hAnsiTheme="minorHAnsi" w:cstheme="minorHAnsi"/>
          <w:sz w:val="22"/>
          <w:szCs w:val="22"/>
        </w:rPr>
        <w:t xml:space="preserve">ipe spill area and disinfected equipment with alcohol or </w:t>
      </w:r>
      <w:r w:rsidR="00C93E7B" w:rsidRPr="00C93E7B">
        <w:rPr>
          <w:rFonts w:asciiTheme="minorHAnsi" w:hAnsiTheme="minorHAnsi" w:cstheme="minorHAnsi"/>
          <w:color w:val="000000"/>
          <w:sz w:val="22"/>
          <w:szCs w:val="22"/>
        </w:rPr>
        <w:t>water.</w:t>
      </w:r>
    </w:p>
    <w:p w14:paraId="46892037" w14:textId="77777777"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 xml:space="preserve">Place all towels or absorbent materials into a designated container for biohazardous waste. </w:t>
      </w:r>
    </w:p>
    <w:p w14:paraId="15A5BB0B" w14:textId="77777777"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Remove PPE, discard disposable PPE as biohazardous waste and wash hands.</w:t>
      </w:r>
    </w:p>
    <w:p w14:paraId="12055F67" w14:textId="77777777"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Run the biosafety cabinet for 10 minutes to purge the air before re-starting work.</w:t>
      </w:r>
    </w:p>
    <w:p w14:paraId="7329B40D" w14:textId="77777777" w:rsidR="00C93E7B" w:rsidRPr="00C93E7B" w:rsidRDefault="00C93E7B" w:rsidP="00C93E7B">
      <w:pPr>
        <w:spacing w:line="276" w:lineRule="auto"/>
        <w:ind w:left="1440"/>
        <w:rPr>
          <w:rFonts w:asciiTheme="minorHAnsi" w:hAnsiTheme="minorHAnsi" w:cstheme="minorHAnsi"/>
          <w:sz w:val="22"/>
          <w:szCs w:val="22"/>
        </w:rPr>
      </w:pPr>
    </w:p>
    <w:p w14:paraId="21ED5B6C" w14:textId="77777777" w:rsidR="00C93E7B" w:rsidRPr="00C93E7B" w:rsidRDefault="00C93E7B" w:rsidP="00C93E7B">
      <w:pPr>
        <w:numPr>
          <w:ilvl w:val="0"/>
          <w:numId w:val="5"/>
        </w:numPr>
        <w:spacing w:line="276" w:lineRule="auto"/>
        <w:ind w:left="360"/>
        <w:contextualSpacing/>
        <w:rPr>
          <w:rFonts w:asciiTheme="minorHAnsi" w:hAnsiTheme="minorHAnsi" w:cstheme="minorHAnsi"/>
          <w:sz w:val="22"/>
          <w:szCs w:val="22"/>
        </w:rPr>
      </w:pPr>
      <w:r w:rsidRPr="00C93E7B">
        <w:rPr>
          <w:rFonts w:asciiTheme="minorHAnsi" w:hAnsiTheme="minorHAnsi" w:cstheme="minorHAnsi"/>
          <w:sz w:val="22"/>
          <w:szCs w:val="22"/>
        </w:rPr>
        <w:lastRenderedPageBreak/>
        <w:t>Spills outside of a Biosafety Cabinet</w:t>
      </w:r>
    </w:p>
    <w:p w14:paraId="29D90C16" w14:textId="77777777"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Stop work.</w:t>
      </w:r>
    </w:p>
    <w:p w14:paraId="06B17745" w14:textId="77777777"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If you are splashed by the material, dispose of PPE and wash hands.</w:t>
      </w:r>
    </w:p>
    <w:p w14:paraId="61394C49" w14:textId="77777777"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Ensure that any other people in the vicinity are notified that a spill has occurred and that the room should be evacuated. Post a “Do Not Enter” notice on the door. Notify the PI or lab supervisor.</w:t>
      </w:r>
    </w:p>
    <w:p w14:paraId="6E306B87" w14:textId="77777777"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If you need assistance with the spill clean-up, call EHS (1-6590).</w:t>
      </w:r>
    </w:p>
    <w:p w14:paraId="529A002B" w14:textId="77777777"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Wait 60 minutes before re-entering the room to allow aerosols to settle.</w:t>
      </w:r>
    </w:p>
    <w:p w14:paraId="790561A3" w14:textId="77777777"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 xml:space="preserve">Assemble Spill cleanup materials and don PPE, including lab coat, eye protection and face shield or mask, 2 pair of gloves, shoe covers.  If the lab coat does not have cuffed sleeves, disposable sleeve covers should be worn.  </w:t>
      </w:r>
    </w:p>
    <w:p w14:paraId="5E7F9942" w14:textId="77777777"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Contain the spill by covering with paper towels (to avoid splashes or aerosols)</w:t>
      </w:r>
    </w:p>
    <w:p w14:paraId="60275A4F" w14:textId="06466709"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 xml:space="preserve">Saturate spill with </w:t>
      </w:r>
      <w:r w:rsidR="00AD60B9">
        <w:rPr>
          <w:rFonts w:asciiTheme="minorHAnsi" w:hAnsiTheme="minorHAnsi" w:cstheme="minorHAnsi"/>
          <w:sz w:val="22"/>
          <w:szCs w:val="22"/>
        </w:rPr>
        <w:t xml:space="preserve">freshly prepared </w:t>
      </w:r>
      <w:r w:rsidR="00AD60B9">
        <w:rPr>
          <w:rFonts w:asciiTheme="minorHAnsi" w:hAnsiTheme="minorHAnsi" w:cstheme="minorHAnsi"/>
          <w:color w:val="000000"/>
          <w:sz w:val="22"/>
          <w:szCs w:val="22"/>
        </w:rPr>
        <w:t>1:10 dilution of bleach*</w:t>
      </w:r>
      <w:r w:rsidRPr="00C93E7B">
        <w:rPr>
          <w:rFonts w:asciiTheme="minorHAnsi" w:hAnsiTheme="minorHAnsi" w:cstheme="minorHAnsi"/>
          <w:i/>
          <w:sz w:val="22"/>
          <w:szCs w:val="22"/>
        </w:rPr>
        <w:t xml:space="preserve">. </w:t>
      </w:r>
      <w:r w:rsidRPr="00C93E7B">
        <w:rPr>
          <w:rFonts w:asciiTheme="minorHAnsi" w:hAnsiTheme="minorHAnsi" w:cstheme="minorHAnsi"/>
          <w:sz w:val="22"/>
          <w:szCs w:val="22"/>
        </w:rPr>
        <w:t>Let sit for 20</w:t>
      </w:r>
      <w:r w:rsidR="00AD60B9">
        <w:rPr>
          <w:rFonts w:asciiTheme="minorHAnsi" w:hAnsiTheme="minorHAnsi" w:cstheme="minorHAnsi"/>
          <w:sz w:val="22"/>
          <w:szCs w:val="22"/>
        </w:rPr>
        <w:t>-</w:t>
      </w:r>
      <w:r w:rsidRPr="00C93E7B">
        <w:rPr>
          <w:rFonts w:asciiTheme="minorHAnsi" w:hAnsiTheme="minorHAnsi" w:cstheme="minorHAnsi"/>
          <w:sz w:val="22"/>
          <w:szCs w:val="22"/>
        </w:rPr>
        <w:t xml:space="preserve">minute exposure time. </w:t>
      </w:r>
    </w:p>
    <w:p w14:paraId="60C060AA" w14:textId="55EB74E6" w:rsidR="00C93E7B" w:rsidRPr="00C93E7B" w:rsidRDefault="00C93E7B" w:rsidP="00C93E7B">
      <w:pPr>
        <w:numPr>
          <w:ilvl w:val="2"/>
          <w:numId w:val="5"/>
        </w:numPr>
        <w:spacing w:line="276" w:lineRule="auto"/>
        <w:contextualSpacing/>
        <w:rPr>
          <w:rFonts w:asciiTheme="minorHAnsi" w:hAnsiTheme="minorHAnsi" w:cstheme="minorHAnsi"/>
          <w:sz w:val="22"/>
          <w:szCs w:val="22"/>
        </w:rPr>
      </w:pPr>
      <w:r w:rsidRPr="00C93E7B">
        <w:rPr>
          <w:rFonts w:asciiTheme="minorHAnsi" w:hAnsiTheme="minorHAnsi" w:cstheme="minorHAnsi"/>
          <w:color w:val="000000"/>
          <w:sz w:val="22"/>
          <w:szCs w:val="22"/>
        </w:rPr>
        <w:t>For large spills (greater than 10ml) use undiluted bleach</w:t>
      </w:r>
      <w:r w:rsidR="00AD60B9">
        <w:rPr>
          <w:rFonts w:asciiTheme="minorHAnsi" w:hAnsiTheme="minorHAnsi" w:cstheme="minorHAnsi"/>
          <w:color w:val="000000"/>
          <w:sz w:val="22"/>
          <w:szCs w:val="22"/>
        </w:rPr>
        <w:t>*</w:t>
      </w:r>
      <w:r w:rsidRPr="00C93E7B">
        <w:rPr>
          <w:rFonts w:asciiTheme="minorHAnsi" w:hAnsiTheme="minorHAnsi" w:cstheme="minorHAnsi"/>
          <w:color w:val="000000"/>
          <w:sz w:val="22"/>
          <w:szCs w:val="22"/>
        </w:rPr>
        <w:t xml:space="preserve"> or disinfectant.</w:t>
      </w:r>
    </w:p>
    <w:p w14:paraId="4F493D0A" w14:textId="44F070F9" w:rsidR="00C93E7B" w:rsidRPr="00C93E7B" w:rsidRDefault="00C93E7B" w:rsidP="00C93E7B">
      <w:pPr>
        <w:numPr>
          <w:ilvl w:val="2"/>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 xml:space="preserve">Wipe areas around the spill that may have splatter and any reusable equipment with </w:t>
      </w:r>
      <w:r w:rsidR="00AD60B9">
        <w:rPr>
          <w:rFonts w:asciiTheme="minorHAnsi" w:hAnsiTheme="minorHAnsi" w:cstheme="minorHAnsi"/>
          <w:sz w:val="22"/>
          <w:szCs w:val="22"/>
        </w:rPr>
        <w:t xml:space="preserve">freshly prepared </w:t>
      </w:r>
      <w:r w:rsidR="00AD60B9">
        <w:rPr>
          <w:rFonts w:asciiTheme="minorHAnsi" w:hAnsiTheme="minorHAnsi" w:cstheme="minorHAnsi"/>
          <w:color w:val="000000"/>
          <w:sz w:val="22"/>
          <w:szCs w:val="22"/>
        </w:rPr>
        <w:t>1:10 dilution of bleach*</w:t>
      </w:r>
      <w:r w:rsidRPr="00C93E7B">
        <w:rPr>
          <w:rFonts w:asciiTheme="minorHAnsi" w:hAnsiTheme="minorHAnsi" w:cstheme="minorHAnsi"/>
          <w:i/>
          <w:sz w:val="22"/>
          <w:szCs w:val="22"/>
        </w:rPr>
        <w:t>.</w:t>
      </w:r>
    </w:p>
    <w:p w14:paraId="64352339" w14:textId="77777777"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 xml:space="preserve">Wipe up spill, disposing of towels in biohazard bag: if sharps may be present use tongs or a brush and pan and dispose in biohazard sharps container. </w:t>
      </w:r>
    </w:p>
    <w:p w14:paraId="65953F23" w14:textId="01EC5350" w:rsidR="00C93E7B" w:rsidRDefault="00C93E7B" w:rsidP="00C93E7B">
      <w:pPr>
        <w:numPr>
          <w:ilvl w:val="2"/>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 xml:space="preserve">Work concentrically to clean up the absorbent material. Always work from the outer edge of the spill toward the center. </w:t>
      </w:r>
    </w:p>
    <w:p w14:paraId="6244CB79" w14:textId="088D79EC" w:rsidR="00C00179" w:rsidRPr="00C00179" w:rsidRDefault="00C00179" w:rsidP="00C00179">
      <w:pPr>
        <w:numPr>
          <w:ilvl w:val="2"/>
          <w:numId w:val="5"/>
        </w:numPr>
        <w:spacing w:line="276" w:lineRule="auto"/>
        <w:contextualSpacing/>
        <w:rPr>
          <w:rFonts w:asciiTheme="minorHAnsi" w:hAnsiTheme="minorHAnsi" w:cstheme="minorHAnsi"/>
          <w:sz w:val="22"/>
          <w:szCs w:val="22"/>
        </w:rPr>
      </w:pPr>
      <w:r>
        <w:rPr>
          <w:rFonts w:asciiTheme="minorHAnsi" w:hAnsiTheme="minorHAnsi" w:cstheme="minorHAnsi"/>
          <w:sz w:val="22"/>
          <w:szCs w:val="22"/>
        </w:rPr>
        <w:t>If the biohazard bag is to be autoclaved, liquid bleach should be neutralized with sodium thiosulfate after it is used for disinfection. A good rule of thumb is if your absorbent towels are dripping wet, the bleach should be neutralized prior to autoclaving.</w:t>
      </w:r>
    </w:p>
    <w:p w14:paraId="29A3FE1A" w14:textId="463EF29C"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 xml:space="preserve">Spray spill area with </w:t>
      </w:r>
      <w:r w:rsidR="00AD60B9">
        <w:rPr>
          <w:rFonts w:asciiTheme="minorHAnsi" w:hAnsiTheme="minorHAnsi" w:cstheme="minorHAnsi"/>
          <w:sz w:val="22"/>
          <w:szCs w:val="22"/>
        </w:rPr>
        <w:t xml:space="preserve">freshly prepared </w:t>
      </w:r>
      <w:r w:rsidR="00AD60B9">
        <w:rPr>
          <w:rFonts w:asciiTheme="minorHAnsi" w:hAnsiTheme="minorHAnsi" w:cstheme="minorHAnsi"/>
          <w:color w:val="000000"/>
          <w:sz w:val="22"/>
          <w:szCs w:val="22"/>
        </w:rPr>
        <w:t>1:10 dilution of bleach*</w:t>
      </w:r>
      <w:r w:rsidRPr="00C93E7B">
        <w:rPr>
          <w:rFonts w:asciiTheme="minorHAnsi" w:hAnsiTheme="minorHAnsi" w:cstheme="minorHAnsi"/>
          <w:i/>
          <w:sz w:val="22"/>
          <w:szCs w:val="22"/>
        </w:rPr>
        <w:t xml:space="preserve">. </w:t>
      </w:r>
      <w:r w:rsidRPr="00C93E7B">
        <w:rPr>
          <w:rFonts w:asciiTheme="minorHAnsi" w:hAnsiTheme="minorHAnsi" w:cstheme="minorHAnsi"/>
          <w:sz w:val="22"/>
          <w:szCs w:val="22"/>
        </w:rPr>
        <w:t>Allow to air dry.</w:t>
      </w:r>
    </w:p>
    <w:p w14:paraId="135803DD" w14:textId="06436408" w:rsidR="00C93E7B" w:rsidRPr="00C93E7B" w:rsidRDefault="00AD60B9" w:rsidP="00C93E7B">
      <w:pPr>
        <w:numPr>
          <w:ilvl w:val="1"/>
          <w:numId w:val="5"/>
        </w:numPr>
        <w:spacing w:line="276" w:lineRule="auto"/>
        <w:contextualSpacing/>
        <w:rPr>
          <w:rFonts w:asciiTheme="minorHAnsi" w:hAnsiTheme="minorHAnsi" w:cstheme="minorHAnsi"/>
          <w:sz w:val="22"/>
          <w:szCs w:val="22"/>
        </w:rPr>
      </w:pPr>
      <w:r>
        <w:rPr>
          <w:rFonts w:asciiTheme="minorHAnsi" w:hAnsiTheme="minorHAnsi" w:cstheme="minorHAnsi"/>
          <w:sz w:val="22"/>
          <w:szCs w:val="22"/>
        </w:rPr>
        <w:t>W</w:t>
      </w:r>
      <w:r w:rsidR="00C93E7B" w:rsidRPr="00C93E7B">
        <w:rPr>
          <w:rFonts w:asciiTheme="minorHAnsi" w:hAnsiTheme="minorHAnsi" w:cstheme="minorHAnsi"/>
          <w:sz w:val="22"/>
          <w:szCs w:val="22"/>
        </w:rPr>
        <w:t xml:space="preserve">ipe spill area and disinfected equipment with alcohol or </w:t>
      </w:r>
      <w:r w:rsidR="00C93E7B" w:rsidRPr="00C93E7B">
        <w:rPr>
          <w:rFonts w:asciiTheme="minorHAnsi" w:hAnsiTheme="minorHAnsi" w:cstheme="minorHAnsi"/>
          <w:color w:val="000000"/>
          <w:sz w:val="22"/>
          <w:szCs w:val="22"/>
        </w:rPr>
        <w:t>water.</w:t>
      </w:r>
    </w:p>
    <w:p w14:paraId="3298F5A6" w14:textId="77777777"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Remove PPE, discard disposable PPE as biohazardous waste and wash hands.</w:t>
      </w:r>
    </w:p>
    <w:p w14:paraId="3114BC45" w14:textId="77777777"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Remove the “Do Not Enter” sign and inform others that it is safe to re-enter the room.</w:t>
      </w:r>
    </w:p>
    <w:p w14:paraId="03876A2D" w14:textId="72CF712A"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 xml:space="preserve">Once the spill has been contained, complete </w:t>
      </w:r>
      <w:r w:rsidR="006973AD">
        <w:rPr>
          <w:rFonts w:asciiTheme="minorHAnsi" w:hAnsiTheme="minorHAnsi" w:cstheme="minorHAnsi"/>
          <w:sz w:val="22"/>
          <w:szCs w:val="22"/>
        </w:rPr>
        <w:t xml:space="preserve">an </w:t>
      </w:r>
      <w:hyperlink r:id="rId14" w:history="1">
        <w:r w:rsidR="006973AD" w:rsidRPr="006973AD">
          <w:rPr>
            <w:rStyle w:val="Hyperlink"/>
            <w:rFonts w:asciiTheme="minorHAnsi" w:hAnsiTheme="minorHAnsi" w:cstheme="minorHAnsi"/>
            <w:sz w:val="22"/>
            <w:szCs w:val="22"/>
          </w:rPr>
          <w:t>EHS Incident Report</w:t>
        </w:r>
        <w:r w:rsidRPr="006973AD">
          <w:rPr>
            <w:rStyle w:val="Hyperlink"/>
            <w:rFonts w:asciiTheme="minorHAnsi" w:hAnsiTheme="minorHAnsi" w:cstheme="minorHAnsi"/>
            <w:sz w:val="22"/>
            <w:szCs w:val="22"/>
          </w:rPr>
          <w:t>.</w:t>
        </w:r>
      </w:hyperlink>
    </w:p>
    <w:p w14:paraId="7D010248" w14:textId="77777777" w:rsidR="00C93E7B" w:rsidRPr="00C93E7B" w:rsidRDefault="00C93E7B" w:rsidP="00C93E7B">
      <w:pPr>
        <w:spacing w:line="276" w:lineRule="auto"/>
        <w:ind w:left="1440"/>
        <w:rPr>
          <w:rFonts w:asciiTheme="minorHAnsi" w:hAnsiTheme="minorHAnsi" w:cstheme="minorHAnsi"/>
          <w:sz w:val="22"/>
          <w:szCs w:val="22"/>
        </w:rPr>
      </w:pPr>
    </w:p>
    <w:p w14:paraId="2AC17E5E" w14:textId="77777777" w:rsidR="00C93E7B" w:rsidRPr="00C93E7B" w:rsidRDefault="00C93E7B" w:rsidP="00C93E7B">
      <w:pPr>
        <w:numPr>
          <w:ilvl w:val="0"/>
          <w:numId w:val="5"/>
        </w:numPr>
        <w:spacing w:line="276" w:lineRule="auto"/>
        <w:ind w:left="360"/>
        <w:contextualSpacing/>
        <w:rPr>
          <w:rFonts w:asciiTheme="minorHAnsi" w:hAnsiTheme="minorHAnsi" w:cstheme="minorHAnsi"/>
          <w:sz w:val="22"/>
          <w:szCs w:val="22"/>
        </w:rPr>
      </w:pPr>
      <w:r w:rsidRPr="00C93E7B">
        <w:rPr>
          <w:rFonts w:asciiTheme="minorHAnsi" w:hAnsiTheme="minorHAnsi" w:cstheme="minorHAnsi"/>
          <w:sz w:val="22"/>
          <w:szCs w:val="22"/>
        </w:rPr>
        <w:t>Spills Inside of a Centrifuge Contained Within a Closed Cup, Bucket, or Rotor</w:t>
      </w:r>
    </w:p>
    <w:p w14:paraId="5C199983" w14:textId="77777777"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Put on lab coat, gloves, and proper eye protection prior to opening centrifuge.  Open carefully to assess the damage.</w:t>
      </w:r>
    </w:p>
    <w:p w14:paraId="5D232DB9" w14:textId="77777777"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Prepare the disinfectant</w:t>
      </w:r>
      <w:r w:rsidRPr="00C93E7B">
        <w:rPr>
          <w:rFonts w:asciiTheme="minorHAnsi" w:hAnsiTheme="minorHAnsi" w:cstheme="minorHAnsi"/>
          <w:i/>
          <w:sz w:val="22"/>
          <w:szCs w:val="22"/>
        </w:rPr>
        <w:t>: consult the instructions of the centrifuge rotor to identify suitable disinfectants</w:t>
      </w:r>
      <w:r w:rsidRPr="00C93E7B">
        <w:rPr>
          <w:rFonts w:asciiTheme="minorHAnsi" w:hAnsiTheme="minorHAnsi" w:cstheme="minorHAnsi"/>
          <w:sz w:val="22"/>
          <w:szCs w:val="22"/>
        </w:rPr>
        <w:t>.</w:t>
      </w:r>
    </w:p>
    <w:p w14:paraId="299E0B11" w14:textId="77777777"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 xml:space="preserve">If the spill is contained within a closed cup, bucket, or rotor, spray the exterior with </w:t>
      </w:r>
      <w:r w:rsidRPr="00C93E7B">
        <w:rPr>
          <w:rFonts w:asciiTheme="minorHAnsi" w:hAnsiTheme="minorHAnsi" w:cstheme="minorHAnsi"/>
          <w:color w:val="000000"/>
          <w:sz w:val="22"/>
          <w:szCs w:val="22"/>
        </w:rPr>
        <w:t>disinfectant</w:t>
      </w:r>
      <w:r w:rsidRPr="00C93E7B">
        <w:rPr>
          <w:rFonts w:asciiTheme="minorHAnsi" w:hAnsiTheme="minorHAnsi" w:cstheme="minorHAnsi"/>
          <w:sz w:val="22"/>
          <w:szCs w:val="22"/>
        </w:rPr>
        <w:t xml:space="preserve"> and allow at least 20 minutes of contact time.  Remove the carrier to the nearest biosafety cabinet (BSC).</w:t>
      </w:r>
    </w:p>
    <w:p w14:paraId="2F1B647E" w14:textId="77777777" w:rsidR="00C93E7B" w:rsidRPr="00C93E7B" w:rsidRDefault="00C93E7B" w:rsidP="00C93E7B">
      <w:pPr>
        <w:numPr>
          <w:ilvl w:val="2"/>
          <w:numId w:val="5"/>
        </w:numPr>
        <w:spacing w:line="276" w:lineRule="auto"/>
        <w:contextualSpacing/>
        <w:rPr>
          <w:rFonts w:asciiTheme="minorHAnsi" w:hAnsiTheme="minorHAnsi" w:cstheme="minorHAnsi"/>
          <w:i/>
          <w:sz w:val="22"/>
          <w:szCs w:val="22"/>
        </w:rPr>
      </w:pPr>
      <w:r w:rsidRPr="00C93E7B">
        <w:rPr>
          <w:rFonts w:asciiTheme="minorHAnsi" w:hAnsiTheme="minorHAnsi" w:cstheme="minorHAnsi"/>
          <w:i/>
          <w:sz w:val="22"/>
          <w:szCs w:val="22"/>
        </w:rPr>
        <w:t xml:space="preserve">Note, if possible, avoid using bleach on centrifuge rotors and buckets to avoid damaging the equipment. If bleach is used, ensure all surfaces are wiped down </w:t>
      </w:r>
      <w:r w:rsidRPr="00C93E7B">
        <w:rPr>
          <w:rFonts w:asciiTheme="minorHAnsi" w:hAnsiTheme="minorHAnsi" w:cstheme="minorHAnsi"/>
          <w:i/>
          <w:sz w:val="22"/>
          <w:szCs w:val="22"/>
        </w:rPr>
        <w:lastRenderedPageBreak/>
        <w:t xml:space="preserve">with soap and water after disinfection.  Alternatively, use an EPA-registered disinfectant, such as </w:t>
      </w:r>
      <w:proofErr w:type="spellStart"/>
      <w:r w:rsidRPr="00C93E7B">
        <w:rPr>
          <w:rFonts w:asciiTheme="minorHAnsi" w:hAnsiTheme="minorHAnsi" w:cstheme="minorHAnsi"/>
          <w:i/>
          <w:sz w:val="22"/>
          <w:szCs w:val="22"/>
        </w:rPr>
        <w:t>Cidex</w:t>
      </w:r>
      <w:proofErr w:type="spellEnd"/>
      <w:r w:rsidRPr="00C93E7B">
        <w:rPr>
          <w:rFonts w:asciiTheme="minorHAnsi" w:hAnsiTheme="minorHAnsi" w:cstheme="minorHAnsi"/>
          <w:i/>
          <w:sz w:val="22"/>
          <w:szCs w:val="22"/>
        </w:rPr>
        <w:t xml:space="preserve"> or </w:t>
      </w:r>
      <w:proofErr w:type="spellStart"/>
      <w:r w:rsidRPr="00C93E7B">
        <w:rPr>
          <w:rFonts w:asciiTheme="minorHAnsi" w:hAnsiTheme="minorHAnsi" w:cstheme="minorHAnsi"/>
          <w:i/>
          <w:sz w:val="22"/>
          <w:szCs w:val="22"/>
        </w:rPr>
        <w:t>Cavicide</w:t>
      </w:r>
      <w:proofErr w:type="spellEnd"/>
      <w:r w:rsidRPr="00C93E7B">
        <w:rPr>
          <w:rFonts w:asciiTheme="minorHAnsi" w:hAnsiTheme="minorHAnsi" w:cstheme="minorHAnsi"/>
          <w:i/>
          <w:sz w:val="22"/>
          <w:szCs w:val="22"/>
        </w:rPr>
        <w:t>.</w:t>
      </w:r>
    </w:p>
    <w:p w14:paraId="48EAFD08" w14:textId="77777777"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 xml:space="preserve">Gather supplies needed, such as a sharps container for broken glass and bins filled with disinfectant and place into the BSC. </w:t>
      </w:r>
    </w:p>
    <w:p w14:paraId="79F9EBC7" w14:textId="192075CC" w:rsidR="00C93E7B" w:rsidRPr="00C93E7B" w:rsidRDefault="00C93E7B" w:rsidP="00C93E7B">
      <w:pPr>
        <w:numPr>
          <w:ilvl w:val="1"/>
          <w:numId w:val="5"/>
        </w:numPr>
        <w:spacing w:line="276" w:lineRule="auto"/>
        <w:contextualSpacing/>
        <w:rPr>
          <w:rFonts w:asciiTheme="minorHAnsi" w:hAnsiTheme="minorHAnsi" w:cstheme="minorHAnsi"/>
          <w:color w:val="000000" w:themeColor="text1"/>
          <w:sz w:val="22"/>
          <w:szCs w:val="22"/>
        </w:rPr>
      </w:pPr>
      <w:r w:rsidRPr="00C93E7B">
        <w:rPr>
          <w:rFonts w:asciiTheme="minorHAnsi" w:hAnsiTheme="minorHAnsi" w:cstheme="minorHAnsi"/>
          <w:sz w:val="22"/>
          <w:szCs w:val="22"/>
        </w:rPr>
        <w:t xml:space="preserve">Open the centrifuge rotor or bucket inside of the BSC. Use a mechanical device (forceps, tongs, etc.) to remove broken glass and place </w:t>
      </w:r>
      <w:r w:rsidRPr="00C93E7B">
        <w:rPr>
          <w:rFonts w:asciiTheme="minorHAnsi" w:hAnsiTheme="minorHAnsi" w:cstheme="minorHAnsi"/>
          <w:color w:val="000000" w:themeColor="text1"/>
          <w:sz w:val="22"/>
          <w:szCs w:val="22"/>
        </w:rPr>
        <w:t xml:space="preserve">directly into sharps container.  Carefully remove any unbroken tubes and place into a bin filled </w:t>
      </w:r>
      <w:r w:rsidR="004C0EA9">
        <w:rPr>
          <w:rFonts w:asciiTheme="minorHAnsi" w:hAnsiTheme="minorHAnsi" w:cstheme="minorHAnsi"/>
          <w:sz w:val="22"/>
          <w:szCs w:val="22"/>
        </w:rPr>
        <w:t xml:space="preserve">freshly prepared </w:t>
      </w:r>
      <w:r w:rsidR="004C0EA9">
        <w:rPr>
          <w:rFonts w:asciiTheme="minorHAnsi" w:hAnsiTheme="minorHAnsi" w:cstheme="minorHAnsi"/>
          <w:color w:val="000000"/>
          <w:sz w:val="22"/>
          <w:szCs w:val="22"/>
        </w:rPr>
        <w:t>1:10 dilution of bleach*</w:t>
      </w:r>
      <w:r w:rsidRPr="00C93E7B">
        <w:rPr>
          <w:rFonts w:asciiTheme="minorHAnsi" w:hAnsiTheme="minorHAnsi" w:cstheme="minorHAnsi"/>
          <w:color w:val="000000" w:themeColor="text1"/>
          <w:sz w:val="22"/>
          <w:szCs w:val="22"/>
        </w:rPr>
        <w:t xml:space="preserve"> for at least 20 minutes.  Wipe carrier/bucket with disinfectant.</w:t>
      </w:r>
    </w:p>
    <w:p w14:paraId="03D72343" w14:textId="77777777" w:rsidR="00C93E7B" w:rsidRPr="00C93E7B" w:rsidRDefault="00C93E7B" w:rsidP="00C93E7B">
      <w:pPr>
        <w:numPr>
          <w:ilvl w:val="1"/>
          <w:numId w:val="5"/>
        </w:numPr>
        <w:spacing w:line="276" w:lineRule="auto"/>
        <w:contextualSpacing/>
        <w:rPr>
          <w:rFonts w:asciiTheme="minorHAnsi" w:hAnsiTheme="minorHAnsi" w:cstheme="minorHAnsi"/>
          <w:color w:val="000000" w:themeColor="text1"/>
          <w:sz w:val="22"/>
          <w:szCs w:val="22"/>
        </w:rPr>
      </w:pPr>
      <w:r w:rsidRPr="00C93E7B">
        <w:rPr>
          <w:rFonts w:asciiTheme="minorHAnsi" w:hAnsiTheme="minorHAnsi" w:cstheme="minorHAnsi"/>
          <w:color w:val="000000" w:themeColor="text1"/>
          <w:sz w:val="22"/>
          <w:szCs w:val="22"/>
        </w:rPr>
        <w:t>After disinfection, carrier, bucket, or rotor must be washed with a mild soap and water.</w:t>
      </w:r>
    </w:p>
    <w:p w14:paraId="6F707F74" w14:textId="01AD7D7A"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color w:val="000000" w:themeColor="text1"/>
          <w:sz w:val="22"/>
          <w:szCs w:val="22"/>
        </w:rPr>
        <w:t xml:space="preserve">Spray the interior of the centrifuge chamber with </w:t>
      </w:r>
      <w:r w:rsidR="004C0EA9">
        <w:rPr>
          <w:rFonts w:asciiTheme="minorHAnsi" w:hAnsiTheme="minorHAnsi" w:cstheme="minorHAnsi"/>
          <w:color w:val="000000" w:themeColor="text1"/>
          <w:sz w:val="22"/>
          <w:szCs w:val="22"/>
        </w:rPr>
        <w:t>disinfectant</w:t>
      </w:r>
      <w:r w:rsidRPr="00C93E7B">
        <w:rPr>
          <w:rFonts w:asciiTheme="minorHAnsi" w:hAnsiTheme="minorHAnsi" w:cstheme="minorHAnsi"/>
          <w:sz w:val="22"/>
          <w:szCs w:val="22"/>
        </w:rPr>
        <w:t>, let sit for at least 20 minutes and then wipe down with soap and water.</w:t>
      </w:r>
    </w:p>
    <w:p w14:paraId="49D6753C" w14:textId="77777777"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Dispose of all clean-up materials (except sharps) in an appropriate biohazardous waste container.  Dispose of sharps in a biohazard sharps container.</w:t>
      </w:r>
    </w:p>
    <w:p w14:paraId="435C4E72" w14:textId="77777777"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Remove PPE, discard disposable PPE as biohazardous waste and wash hands.</w:t>
      </w:r>
    </w:p>
    <w:p w14:paraId="473A487A" w14:textId="77777777" w:rsidR="00C93E7B" w:rsidRPr="00C93E7B" w:rsidRDefault="00C93E7B" w:rsidP="00C93E7B">
      <w:pPr>
        <w:spacing w:line="276" w:lineRule="auto"/>
        <w:contextualSpacing/>
        <w:rPr>
          <w:rFonts w:asciiTheme="minorHAnsi" w:hAnsiTheme="minorHAnsi" w:cstheme="minorHAnsi"/>
          <w:sz w:val="22"/>
          <w:szCs w:val="22"/>
        </w:rPr>
      </w:pPr>
    </w:p>
    <w:p w14:paraId="21FB3ABA" w14:textId="77777777" w:rsidR="00C93E7B" w:rsidRPr="00C93E7B" w:rsidRDefault="00C93E7B" w:rsidP="00C93E7B">
      <w:pPr>
        <w:spacing w:line="276" w:lineRule="auto"/>
        <w:ind w:firstLine="720"/>
        <w:contextualSpacing/>
        <w:rPr>
          <w:rFonts w:asciiTheme="minorHAnsi" w:hAnsiTheme="minorHAnsi" w:cstheme="minorHAnsi"/>
          <w:sz w:val="22"/>
          <w:szCs w:val="22"/>
        </w:rPr>
      </w:pPr>
      <w:r w:rsidRPr="00C93E7B">
        <w:rPr>
          <w:rFonts w:asciiTheme="minorHAnsi" w:hAnsiTheme="minorHAnsi" w:cstheme="minorHAnsi"/>
          <w:sz w:val="22"/>
          <w:szCs w:val="22"/>
        </w:rPr>
        <w:t>If you are concerned that the spill is not contained within the rotor or bucket:</w:t>
      </w:r>
    </w:p>
    <w:p w14:paraId="3E08B335" w14:textId="77777777" w:rsidR="00C93E7B" w:rsidRPr="00C93E7B" w:rsidRDefault="00C93E7B" w:rsidP="00C93E7B">
      <w:pPr>
        <w:numPr>
          <w:ilvl w:val="2"/>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Ensure that any other people in the vicinity are notified that a spill has occurred and the room should be evacuated. Post a “Do Not Enter” notice on the door. Notify the PI or lab supervisor.</w:t>
      </w:r>
    </w:p>
    <w:p w14:paraId="6ECFD696" w14:textId="77777777" w:rsidR="00C93E7B" w:rsidRPr="00C93E7B" w:rsidRDefault="00C93E7B" w:rsidP="00C93E7B">
      <w:pPr>
        <w:numPr>
          <w:ilvl w:val="2"/>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If you need assistance with the spill clean-up, call EHS (801-581-6590)</w:t>
      </w:r>
    </w:p>
    <w:p w14:paraId="36682CA2" w14:textId="77777777" w:rsidR="00C93E7B" w:rsidRPr="00C93E7B" w:rsidRDefault="00C93E7B" w:rsidP="00C93E7B">
      <w:pPr>
        <w:numPr>
          <w:ilvl w:val="2"/>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Wait 60 minutes before re-entering the room to allow aerosols to settle.</w:t>
      </w:r>
    </w:p>
    <w:p w14:paraId="55850B4E" w14:textId="77777777" w:rsidR="00C93E7B" w:rsidRPr="00C93E7B" w:rsidRDefault="00C93E7B" w:rsidP="00C93E7B">
      <w:pPr>
        <w:numPr>
          <w:ilvl w:val="2"/>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Proceed with clean up as described above.</w:t>
      </w:r>
    </w:p>
    <w:p w14:paraId="6C0FA1F9" w14:textId="77777777" w:rsidR="00C93E7B" w:rsidRPr="00C93E7B" w:rsidRDefault="00C93E7B" w:rsidP="00C93E7B">
      <w:pPr>
        <w:spacing w:line="276" w:lineRule="auto"/>
        <w:ind w:left="1980"/>
        <w:contextualSpacing/>
        <w:rPr>
          <w:rFonts w:asciiTheme="minorHAnsi" w:hAnsiTheme="minorHAnsi" w:cstheme="minorHAnsi"/>
          <w:sz w:val="22"/>
          <w:szCs w:val="22"/>
        </w:rPr>
      </w:pPr>
    </w:p>
    <w:p w14:paraId="2EC5CA37" w14:textId="77777777" w:rsidR="00C93E7B" w:rsidRPr="00C93E7B" w:rsidRDefault="00C93E7B" w:rsidP="00C93E7B">
      <w:pPr>
        <w:spacing w:line="276" w:lineRule="auto"/>
        <w:ind w:left="1080"/>
        <w:contextualSpacing/>
        <w:rPr>
          <w:rFonts w:asciiTheme="minorHAnsi" w:hAnsiTheme="minorHAnsi" w:cstheme="minorHAnsi"/>
          <w:sz w:val="22"/>
          <w:szCs w:val="22"/>
        </w:rPr>
      </w:pPr>
      <w:r w:rsidRPr="00C93E7B">
        <w:rPr>
          <w:rFonts w:asciiTheme="minorHAnsi" w:hAnsiTheme="minorHAnsi" w:cstheme="minorHAnsi"/>
          <w:b/>
          <w:sz w:val="22"/>
          <w:szCs w:val="22"/>
        </w:rPr>
        <w:t>Note</w:t>
      </w:r>
      <w:r w:rsidRPr="00C93E7B">
        <w:rPr>
          <w:rFonts w:asciiTheme="minorHAnsi" w:hAnsiTheme="minorHAnsi" w:cstheme="minorHAnsi"/>
          <w:sz w:val="22"/>
          <w:szCs w:val="22"/>
        </w:rPr>
        <w:t>: Many centrifuge rotors can be disinfected by autoclaving.  Check the manufacturer’s instructions.</w:t>
      </w:r>
    </w:p>
    <w:p w14:paraId="74EB6416" w14:textId="77777777" w:rsidR="00C93E7B" w:rsidRPr="00C93E7B" w:rsidRDefault="00C93E7B" w:rsidP="00C93E7B">
      <w:pPr>
        <w:spacing w:line="276" w:lineRule="auto"/>
        <w:ind w:left="1080"/>
        <w:contextualSpacing/>
        <w:rPr>
          <w:rFonts w:asciiTheme="minorHAnsi" w:hAnsiTheme="minorHAnsi" w:cstheme="minorHAnsi"/>
          <w:sz w:val="22"/>
          <w:szCs w:val="22"/>
        </w:rPr>
      </w:pPr>
    </w:p>
    <w:p w14:paraId="056BA478" w14:textId="793AAC94" w:rsidR="00C93E7B" w:rsidRDefault="00C93E7B" w:rsidP="00C93E7B">
      <w:pPr>
        <w:numPr>
          <w:ilvl w:val="0"/>
          <w:numId w:val="5"/>
        </w:numPr>
        <w:spacing w:line="276" w:lineRule="auto"/>
        <w:ind w:left="360"/>
        <w:contextualSpacing/>
        <w:rPr>
          <w:rFonts w:asciiTheme="minorHAnsi" w:hAnsiTheme="minorHAnsi" w:cstheme="minorHAnsi"/>
          <w:sz w:val="22"/>
          <w:szCs w:val="22"/>
        </w:rPr>
      </w:pPr>
      <w:r w:rsidRPr="00C93E7B">
        <w:rPr>
          <w:rFonts w:asciiTheme="minorHAnsi" w:hAnsiTheme="minorHAnsi" w:cstheme="minorHAnsi"/>
          <w:sz w:val="22"/>
          <w:szCs w:val="22"/>
        </w:rPr>
        <w:t>Exposure to skin</w:t>
      </w:r>
      <w:r w:rsidR="006973AD">
        <w:rPr>
          <w:rFonts w:asciiTheme="minorHAnsi" w:hAnsiTheme="minorHAnsi" w:cstheme="minorHAnsi"/>
          <w:sz w:val="22"/>
          <w:szCs w:val="22"/>
        </w:rPr>
        <w:t xml:space="preserve">, eyes or </w:t>
      </w:r>
      <w:r w:rsidRPr="00C93E7B">
        <w:rPr>
          <w:rFonts w:asciiTheme="minorHAnsi" w:hAnsiTheme="minorHAnsi" w:cstheme="minorHAnsi"/>
          <w:sz w:val="22"/>
          <w:szCs w:val="22"/>
        </w:rPr>
        <w:t>clothing</w:t>
      </w:r>
    </w:p>
    <w:p w14:paraId="198DE498" w14:textId="5B8E0508" w:rsidR="006973AD" w:rsidRPr="00C00179" w:rsidRDefault="006973AD" w:rsidP="00C00179">
      <w:pPr>
        <w:pStyle w:val="ListParagraph"/>
        <w:numPr>
          <w:ilvl w:val="1"/>
          <w:numId w:val="5"/>
        </w:numPr>
        <w:spacing w:line="276" w:lineRule="auto"/>
        <w:contextualSpacing/>
        <w:rPr>
          <w:rFonts w:cs="Arial"/>
        </w:rPr>
      </w:pPr>
      <w:r w:rsidRPr="00C00179">
        <w:rPr>
          <w:rFonts w:cs="Arial"/>
        </w:rPr>
        <w:t>Remove exposed PPE taking care to avoid contact of unexposed areas to infectious agents on the PPE.</w:t>
      </w:r>
    </w:p>
    <w:p w14:paraId="4FE9EA20" w14:textId="68EDF44F" w:rsidR="006973AD" w:rsidRPr="00C00179" w:rsidRDefault="006973AD" w:rsidP="00C00179">
      <w:pPr>
        <w:pStyle w:val="ListParagraph"/>
        <w:numPr>
          <w:ilvl w:val="1"/>
          <w:numId w:val="5"/>
        </w:numPr>
        <w:spacing w:line="276" w:lineRule="auto"/>
        <w:contextualSpacing/>
      </w:pPr>
      <w:r w:rsidRPr="00C00179">
        <w:t>Immediately wash affected areas with soap and water, or if exposure to eyes or mucous membranes occurred, immediately flush affected area with water for 10-15 minutes.</w:t>
      </w:r>
    </w:p>
    <w:p w14:paraId="7A80DA56" w14:textId="1A591B08" w:rsidR="006973AD" w:rsidRPr="00C00179" w:rsidRDefault="006973AD" w:rsidP="00C00179">
      <w:pPr>
        <w:pStyle w:val="ListParagraph"/>
        <w:numPr>
          <w:ilvl w:val="1"/>
          <w:numId w:val="5"/>
        </w:numPr>
        <w:spacing w:line="276" w:lineRule="auto"/>
        <w:contextualSpacing/>
        <w:rPr>
          <w:rFonts w:cs="Arial"/>
        </w:rPr>
      </w:pPr>
      <w:r w:rsidRPr="00C00179">
        <w:rPr>
          <w:rFonts w:cs="Arial"/>
        </w:rPr>
        <w:t xml:space="preserve">Inform others in area about any biohazardous materials out of containment to prevent further exposure. If possible, contain with absorbent pads, decontaminate with bleach, and/or seal off the site.  </w:t>
      </w:r>
      <w:r w:rsidRPr="00C00179">
        <w:rPr>
          <w:rFonts w:cs="Arial"/>
          <w:b/>
        </w:rPr>
        <w:t>ALL exposed individuals should leave the area.</w:t>
      </w:r>
      <w:r w:rsidRPr="00C00179">
        <w:rPr>
          <w:rFonts w:cs="Arial"/>
        </w:rPr>
        <w:t xml:space="preserve"> </w:t>
      </w:r>
    </w:p>
    <w:p w14:paraId="18D46AD9" w14:textId="478ED215" w:rsidR="006973AD" w:rsidRPr="00C00179" w:rsidRDefault="006973AD" w:rsidP="00C00179">
      <w:pPr>
        <w:pStyle w:val="ListParagraph"/>
        <w:numPr>
          <w:ilvl w:val="1"/>
          <w:numId w:val="5"/>
        </w:numPr>
        <w:spacing w:line="276" w:lineRule="auto"/>
        <w:contextualSpacing/>
      </w:pPr>
      <w:r w:rsidRPr="00C00179">
        <w:t>After washing, Notify lab supervisor or Principal Investigator of the exposure</w:t>
      </w:r>
      <w:r w:rsidRPr="00C00179">
        <w:rPr>
          <w:color w:val="000000"/>
        </w:rPr>
        <w:t>.</w:t>
      </w:r>
    </w:p>
    <w:p w14:paraId="1B04162A" w14:textId="2FC4D40A" w:rsidR="006973AD" w:rsidRPr="00C00179" w:rsidRDefault="006973AD" w:rsidP="00C00179">
      <w:pPr>
        <w:pStyle w:val="ListParagraph"/>
        <w:numPr>
          <w:ilvl w:val="1"/>
          <w:numId w:val="5"/>
        </w:numPr>
        <w:spacing w:line="276" w:lineRule="auto"/>
        <w:contextualSpacing/>
      </w:pPr>
      <w:r w:rsidRPr="00C00179">
        <w:t xml:space="preserve">If the injury is serious/life threatening, call an ambulance (911). </w:t>
      </w:r>
    </w:p>
    <w:p w14:paraId="66B24FEA" w14:textId="037C733D" w:rsidR="006973AD" w:rsidRPr="00C00179" w:rsidRDefault="006973AD" w:rsidP="00C00179">
      <w:pPr>
        <w:pStyle w:val="ListParagraph"/>
        <w:numPr>
          <w:ilvl w:val="1"/>
          <w:numId w:val="5"/>
        </w:numPr>
        <w:spacing w:line="276" w:lineRule="auto"/>
        <w:contextualSpacing/>
        <w:rPr>
          <w:bCs/>
        </w:rPr>
      </w:pPr>
      <w:r w:rsidRPr="00C00179">
        <w:t xml:space="preserve">During normal working hours proceed directly to </w:t>
      </w:r>
      <w:proofErr w:type="spellStart"/>
      <w:r w:rsidRPr="00C00179">
        <w:t>RedMed</w:t>
      </w:r>
      <w:proofErr w:type="spellEnd"/>
      <w:r w:rsidRPr="00C00179">
        <w:t xml:space="preserve"> Clinic or the Redwood Health Center Occupational Medicine Clinic.  After 9 pm seek medical attention the next morning </w:t>
      </w:r>
      <w:r w:rsidRPr="00C00179">
        <w:rPr>
          <w:bCs/>
        </w:rPr>
        <w:t>unless:</w:t>
      </w:r>
    </w:p>
    <w:p w14:paraId="61B0C183" w14:textId="5D62B81B" w:rsidR="006973AD" w:rsidRPr="00C00179" w:rsidRDefault="00B46D1D" w:rsidP="00C00179">
      <w:pPr>
        <w:pStyle w:val="ListParagraph"/>
        <w:widowControl/>
        <w:numPr>
          <w:ilvl w:val="2"/>
          <w:numId w:val="8"/>
        </w:numPr>
        <w:autoSpaceDE/>
        <w:autoSpaceDN/>
        <w:spacing w:line="276" w:lineRule="auto"/>
        <w:contextualSpacing/>
        <w:rPr>
          <w:bCs/>
        </w:rPr>
      </w:pPr>
      <w:r w:rsidRPr="00C00179">
        <w:rPr>
          <w:bCs/>
        </w:rPr>
        <w:t>Y</w:t>
      </w:r>
      <w:r w:rsidR="006973AD" w:rsidRPr="00C00179">
        <w:rPr>
          <w:bCs/>
        </w:rPr>
        <w:t xml:space="preserve">ou are exposed to any of the following seek medical attention immediately.  After 9pm go to the University of Utah Hospital Emergency Room. </w:t>
      </w:r>
      <w:r w:rsidR="006973AD" w:rsidRPr="00C00179">
        <w:rPr>
          <w:rFonts w:cs="Arial"/>
          <w:bCs/>
        </w:rPr>
        <w:t>Post exposure prophylaxis must be initiated as soon as possible after exposure</w:t>
      </w:r>
      <w:r w:rsidR="006973AD" w:rsidRPr="00C00179">
        <w:rPr>
          <w:bCs/>
        </w:rPr>
        <w:t>:</w:t>
      </w:r>
    </w:p>
    <w:p w14:paraId="54FCA1F2" w14:textId="77777777" w:rsidR="006973AD" w:rsidRPr="0084255D" w:rsidRDefault="006973AD" w:rsidP="006973AD">
      <w:pPr>
        <w:numPr>
          <w:ilvl w:val="2"/>
          <w:numId w:val="8"/>
        </w:numPr>
        <w:spacing w:line="276" w:lineRule="auto"/>
        <w:contextualSpacing/>
        <w:rPr>
          <w:rFonts w:ascii="Calibri" w:hAnsi="Calibri" w:cs="Calibri"/>
          <w:sz w:val="22"/>
          <w:szCs w:val="22"/>
        </w:rPr>
      </w:pPr>
      <w:r w:rsidRPr="0084255D">
        <w:rPr>
          <w:rFonts w:ascii="Calibri" w:hAnsi="Calibri" w:cs="Calibri"/>
          <w:sz w:val="22"/>
          <w:szCs w:val="22"/>
        </w:rPr>
        <w:lastRenderedPageBreak/>
        <w:t>Human samples from a patient (or animal) with a known infectious disease, such as HBV, HIV, Rabies, Invasive Group A Streptococcus, Invasive Meningococcus, Tuberculosis.</w:t>
      </w:r>
    </w:p>
    <w:p w14:paraId="7ADD9535" w14:textId="77777777" w:rsidR="006973AD" w:rsidRPr="0084255D" w:rsidRDefault="006973AD" w:rsidP="006973AD">
      <w:pPr>
        <w:numPr>
          <w:ilvl w:val="2"/>
          <w:numId w:val="8"/>
        </w:numPr>
        <w:spacing w:line="276" w:lineRule="auto"/>
        <w:contextualSpacing/>
        <w:rPr>
          <w:rFonts w:ascii="Calibri" w:hAnsi="Calibri" w:cs="Calibri"/>
          <w:sz w:val="22"/>
          <w:szCs w:val="22"/>
        </w:rPr>
      </w:pPr>
      <w:r w:rsidRPr="0084255D">
        <w:rPr>
          <w:rFonts w:ascii="Calibri" w:hAnsi="Calibri" w:cs="Calibri"/>
          <w:sz w:val="22"/>
          <w:szCs w:val="22"/>
        </w:rPr>
        <w:t>Samples from macaque or other old-world primates</w:t>
      </w:r>
    </w:p>
    <w:p w14:paraId="03E98555" w14:textId="77777777" w:rsidR="006973AD" w:rsidRPr="0084255D" w:rsidRDefault="006973AD" w:rsidP="006973AD">
      <w:pPr>
        <w:rPr>
          <w:rFonts w:ascii="Calibri" w:hAnsi="Calibri" w:cs="Calibri"/>
          <w:sz w:val="22"/>
          <w:szCs w:val="22"/>
        </w:rPr>
      </w:pPr>
    </w:p>
    <w:p w14:paraId="30ACBECF" w14:textId="77777777" w:rsidR="006973AD" w:rsidRPr="0084255D" w:rsidRDefault="006973AD" w:rsidP="006973AD">
      <w:pPr>
        <w:tabs>
          <w:tab w:val="left" w:pos="720"/>
        </w:tabs>
        <w:jc w:val="center"/>
        <w:rPr>
          <w:rFonts w:ascii="Calibri" w:hAnsi="Calibri" w:cs="Calibri"/>
          <w:b/>
          <w:color w:val="FF0000"/>
          <w:sz w:val="22"/>
          <w:szCs w:val="22"/>
        </w:rPr>
      </w:pPr>
      <w:proofErr w:type="spellStart"/>
      <w:r w:rsidRPr="0084255D">
        <w:rPr>
          <w:rFonts w:ascii="Calibri" w:hAnsi="Calibri" w:cs="Calibri"/>
          <w:b/>
          <w:color w:val="FF0000"/>
          <w:sz w:val="22"/>
          <w:szCs w:val="22"/>
        </w:rPr>
        <w:t>RedMed</w:t>
      </w:r>
      <w:proofErr w:type="spellEnd"/>
      <w:r w:rsidRPr="0084255D">
        <w:rPr>
          <w:rFonts w:ascii="Calibri" w:hAnsi="Calibri" w:cs="Calibri"/>
          <w:b/>
          <w:color w:val="FF0000"/>
          <w:sz w:val="22"/>
          <w:szCs w:val="22"/>
        </w:rPr>
        <w:t xml:space="preserve"> Employee Health Clinic</w:t>
      </w:r>
    </w:p>
    <w:p w14:paraId="6E20D620" w14:textId="77777777" w:rsidR="006973AD" w:rsidRPr="0084255D" w:rsidRDefault="006973AD" w:rsidP="006973AD">
      <w:pPr>
        <w:tabs>
          <w:tab w:val="left" w:pos="720"/>
        </w:tabs>
        <w:jc w:val="center"/>
        <w:rPr>
          <w:rFonts w:ascii="Calibri" w:hAnsi="Calibri" w:cs="Calibri"/>
          <w:sz w:val="22"/>
          <w:szCs w:val="22"/>
        </w:rPr>
      </w:pPr>
      <w:r w:rsidRPr="0084255D">
        <w:rPr>
          <w:rFonts w:ascii="Calibri" w:hAnsi="Calibri" w:cs="Calibri"/>
          <w:sz w:val="22"/>
          <w:szCs w:val="22"/>
        </w:rPr>
        <w:t>200 Central Campus Dr.</w:t>
      </w:r>
    </w:p>
    <w:p w14:paraId="7CC37C0A" w14:textId="77777777" w:rsidR="006973AD" w:rsidRPr="0084255D" w:rsidRDefault="006973AD" w:rsidP="006973AD">
      <w:pPr>
        <w:tabs>
          <w:tab w:val="left" w:pos="720"/>
        </w:tabs>
        <w:jc w:val="center"/>
        <w:rPr>
          <w:rFonts w:ascii="Calibri" w:hAnsi="Calibri" w:cs="Calibri"/>
          <w:sz w:val="22"/>
          <w:szCs w:val="22"/>
        </w:rPr>
      </w:pPr>
      <w:r w:rsidRPr="0084255D">
        <w:rPr>
          <w:rFonts w:ascii="Calibri" w:hAnsi="Calibri" w:cs="Calibri"/>
          <w:sz w:val="22"/>
          <w:szCs w:val="22"/>
        </w:rPr>
        <w:t>Salt Lake City, UT 84112</w:t>
      </w:r>
    </w:p>
    <w:p w14:paraId="727A738E" w14:textId="77777777" w:rsidR="006973AD" w:rsidRPr="0084255D" w:rsidRDefault="006973AD" w:rsidP="006973AD">
      <w:pPr>
        <w:tabs>
          <w:tab w:val="left" w:pos="720"/>
        </w:tabs>
        <w:jc w:val="center"/>
        <w:rPr>
          <w:rFonts w:ascii="Calibri" w:hAnsi="Calibri" w:cs="Calibri"/>
          <w:sz w:val="22"/>
          <w:szCs w:val="22"/>
        </w:rPr>
      </w:pPr>
      <w:r w:rsidRPr="0084255D">
        <w:rPr>
          <w:rFonts w:ascii="Calibri" w:hAnsi="Calibri" w:cs="Calibri"/>
          <w:sz w:val="22"/>
          <w:szCs w:val="22"/>
        </w:rPr>
        <w:t>Phone: (801) 213-3303</w:t>
      </w:r>
    </w:p>
    <w:p w14:paraId="5EB00C64" w14:textId="77777777" w:rsidR="006973AD" w:rsidRPr="0084255D" w:rsidRDefault="006973AD" w:rsidP="006973AD">
      <w:pPr>
        <w:tabs>
          <w:tab w:val="left" w:pos="720"/>
        </w:tabs>
        <w:jc w:val="center"/>
        <w:rPr>
          <w:rFonts w:ascii="Calibri" w:hAnsi="Calibri" w:cs="Calibri"/>
          <w:sz w:val="22"/>
          <w:szCs w:val="22"/>
        </w:rPr>
      </w:pPr>
      <w:r w:rsidRPr="0084255D">
        <w:rPr>
          <w:rFonts w:ascii="Calibri" w:hAnsi="Calibri" w:cs="Calibri"/>
          <w:sz w:val="22"/>
          <w:szCs w:val="22"/>
        </w:rPr>
        <w:t xml:space="preserve">Hours: M-TH: 8:00AM – 5:00PM, Friday: </w:t>
      </w:r>
      <w:r>
        <w:rPr>
          <w:rFonts w:ascii="Calibri" w:hAnsi="Calibri" w:cs="Calibri"/>
          <w:sz w:val="22"/>
          <w:szCs w:val="22"/>
        </w:rPr>
        <w:t>8</w:t>
      </w:r>
      <w:r w:rsidRPr="0084255D">
        <w:rPr>
          <w:rFonts w:ascii="Calibri" w:hAnsi="Calibri" w:cs="Calibri"/>
          <w:sz w:val="22"/>
          <w:szCs w:val="22"/>
        </w:rPr>
        <w:t>:00AM – 3:30PM</w:t>
      </w:r>
    </w:p>
    <w:p w14:paraId="22D83145" w14:textId="77777777" w:rsidR="006973AD" w:rsidRPr="0084255D" w:rsidRDefault="006973AD" w:rsidP="006973AD">
      <w:pPr>
        <w:tabs>
          <w:tab w:val="left" w:pos="720"/>
        </w:tabs>
        <w:jc w:val="center"/>
        <w:rPr>
          <w:rFonts w:ascii="Calibri" w:hAnsi="Calibri" w:cs="Calibri"/>
          <w:sz w:val="22"/>
          <w:szCs w:val="22"/>
        </w:rPr>
      </w:pPr>
      <w:r w:rsidRPr="0084255D">
        <w:rPr>
          <w:rFonts w:ascii="Calibri" w:hAnsi="Calibri" w:cs="Calibri"/>
          <w:sz w:val="22"/>
          <w:szCs w:val="22"/>
        </w:rPr>
        <w:t>Closed from 1:30 to 2:00PM</w:t>
      </w:r>
    </w:p>
    <w:p w14:paraId="5AE6EED8" w14:textId="77777777" w:rsidR="006973AD" w:rsidRPr="0084255D" w:rsidRDefault="00635F3B" w:rsidP="006973AD">
      <w:pPr>
        <w:jc w:val="center"/>
        <w:rPr>
          <w:rFonts w:ascii="Calibri" w:hAnsi="Calibri" w:cs="Calibri"/>
          <w:color w:val="000000"/>
          <w:sz w:val="22"/>
        </w:rPr>
      </w:pPr>
      <w:hyperlink r:id="rId15" w:tgtFrame="_blank" w:history="1">
        <w:r w:rsidR="006973AD" w:rsidRPr="0084255D">
          <w:rPr>
            <w:rStyle w:val="Hyperlink"/>
            <w:rFonts w:ascii="Calibri" w:hAnsi="Calibri" w:cs="Calibri"/>
            <w:color w:val="000000"/>
            <w:sz w:val="22"/>
          </w:rPr>
          <w:t>www.hr.utah.edu/RedMed</w:t>
        </w:r>
      </w:hyperlink>
    </w:p>
    <w:p w14:paraId="6865B8F2" w14:textId="77777777" w:rsidR="006973AD" w:rsidRPr="0084255D" w:rsidRDefault="006973AD" w:rsidP="006973AD">
      <w:pPr>
        <w:tabs>
          <w:tab w:val="left" w:pos="720"/>
        </w:tabs>
        <w:jc w:val="center"/>
        <w:rPr>
          <w:rFonts w:ascii="Calibri" w:hAnsi="Calibri" w:cs="Calibri"/>
          <w:sz w:val="22"/>
          <w:szCs w:val="22"/>
        </w:rPr>
      </w:pPr>
    </w:p>
    <w:p w14:paraId="21750C02" w14:textId="77777777" w:rsidR="006973AD" w:rsidRPr="0084255D" w:rsidRDefault="006973AD" w:rsidP="006973AD">
      <w:pPr>
        <w:jc w:val="center"/>
        <w:rPr>
          <w:rFonts w:ascii="Calibri" w:hAnsi="Calibri" w:cs="Calibri"/>
          <w:b/>
          <w:color w:val="FF0000"/>
          <w:sz w:val="22"/>
          <w:szCs w:val="22"/>
        </w:rPr>
      </w:pPr>
      <w:bookmarkStart w:id="0" w:name="_Hlk115333862"/>
      <w:r w:rsidRPr="0084255D">
        <w:rPr>
          <w:rFonts w:ascii="Calibri" w:hAnsi="Calibri" w:cs="Calibri"/>
          <w:b/>
          <w:color w:val="FF0000"/>
          <w:sz w:val="22"/>
          <w:szCs w:val="22"/>
        </w:rPr>
        <w:t>Redwood Health Center Occupational Medicine Clinic</w:t>
      </w:r>
    </w:p>
    <w:p w14:paraId="225A7861" w14:textId="77777777" w:rsidR="006973AD" w:rsidRPr="0084255D" w:rsidRDefault="006973AD" w:rsidP="006973AD">
      <w:pPr>
        <w:jc w:val="center"/>
        <w:rPr>
          <w:rFonts w:ascii="Calibri" w:hAnsi="Calibri" w:cs="Calibri"/>
          <w:sz w:val="22"/>
          <w:szCs w:val="22"/>
        </w:rPr>
      </w:pPr>
      <w:r w:rsidRPr="0084255D">
        <w:rPr>
          <w:rFonts w:ascii="Calibri" w:hAnsi="Calibri" w:cs="Calibri"/>
          <w:sz w:val="22"/>
          <w:szCs w:val="22"/>
        </w:rPr>
        <w:t>1525 West 2100 South</w:t>
      </w:r>
    </w:p>
    <w:p w14:paraId="03C8D7F1" w14:textId="77777777" w:rsidR="006973AD" w:rsidRPr="0084255D" w:rsidRDefault="006973AD" w:rsidP="006973AD">
      <w:pPr>
        <w:jc w:val="center"/>
        <w:rPr>
          <w:rFonts w:ascii="Calibri" w:hAnsi="Calibri" w:cs="Calibri"/>
          <w:sz w:val="22"/>
          <w:szCs w:val="22"/>
        </w:rPr>
      </w:pPr>
      <w:r w:rsidRPr="0084255D">
        <w:rPr>
          <w:rFonts w:ascii="Calibri" w:hAnsi="Calibri" w:cs="Calibri"/>
          <w:sz w:val="22"/>
          <w:szCs w:val="22"/>
        </w:rPr>
        <w:t>Salt Lake City, UT 84119</w:t>
      </w:r>
    </w:p>
    <w:p w14:paraId="4B10DC97" w14:textId="77777777" w:rsidR="006973AD" w:rsidRPr="0084255D" w:rsidRDefault="006973AD" w:rsidP="006973AD">
      <w:pPr>
        <w:jc w:val="center"/>
        <w:rPr>
          <w:rFonts w:ascii="Calibri" w:hAnsi="Calibri" w:cs="Calibri"/>
          <w:sz w:val="22"/>
          <w:szCs w:val="22"/>
        </w:rPr>
      </w:pPr>
      <w:r w:rsidRPr="0084255D">
        <w:rPr>
          <w:rFonts w:ascii="Calibri" w:hAnsi="Calibri" w:cs="Calibri"/>
          <w:sz w:val="22"/>
          <w:szCs w:val="22"/>
        </w:rPr>
        <w:t>Phone: (801) 213-9777</w:t>
      </w:r>
    </w:p>
    <w:p w14:paraId="60EB74DB" w14:textId="77777777" w:rsidR="006973AD" w:rsidRPr="0084255D" w:rsidRDefault="006973AD" w:rsidP="006973AD">
      <w:pPr>
        <w:jc w:val="center"/>
        <w:rPr>
          <w:rFonts w:ascii="Calibri" w:hAnsi="Calibri" w:cs="Calibri"/>
          <w:sz w:val="22"/>
          <w:szCs w:val="22"/>
        </w:rPr>
      </w:pPr>
      <w:r w:rsidRPr="0084255D">
        <w:rPr>
          <w:rFonts w:ascii="Calibri" w:hAnsi="Calibri" w:cs="Calibri"/>
          <w:sz w:val="22"/>
          <w:szCs w:val="22"/>
        </w:rPr>
        <w:t>Hours: M-F 8:00AM - 5:00PM (last patient accepted at 4:00PM)</w:t>
      </w:r>
    </w:p>
    <w:p w14:paraId="43EED3E5" w14:textId="77777777" w:rsidR="006973AD" w:rsidRPr="0084255D" w:rsidRDefault="00635F3B" w:rsidP="006973AD">
      <w:pPr>
        <w:jc w:val="center"/>
        <w:rPr>
          <w:rFonts w:ascii="Calibri" w:hAnsi="Calibri" w:cs="Calibri"/>
          <w:color w:val="000000"/>
          <w:sz w:val="22"/>
        </w:rPr>
      </w:pPr>
      <w:hyperlink r:id="rId16" w:tgtFrame="_blank" w:history="1">
        <w:r w:rsidR="006973AD" w:rsidRPr="0084255D">
          <w:rPr>
            <w:rStyle w:val="Hyperlink"/>
            <w:rFonts w:ascii="Calibri" w:hAnsi="Calibri" w:cs="Calibri"/>
            <w:color w:val="000000"/>
            <w:sz w:val="22"/>
          </w:rPr>
          <w:t>http://healthcare.utah.edu/occmed/</w:t>
        </w:r>
      </w:hyperlink>
    </w:p>
    <w:p w14:paraId="3C43C5F8" w14:textId="77777777" w:rsidR="006973AD" w:rsidRPr="0084255D" w:rsidRDefault="006973AD" w:rsidP="006973AD">
      <w:pPr>
        <w:jc w:val="center"/>
        <w:rPr>
          <w:rFonts w:ascii="Calibri" w:hAnsi="Calibri" w:cs="Calibri"/>
          <w:sz w:val="22"/>
          <w:szCs w:val="22"/>
        </w:rPr>
      </w:pPr>
    </w:p>
    <w:bookmarkEnd w:id="0"/>
    <w:p w14:paraId="0F0E8367" w14:textId="77777777" w:rsidR="006973AD" w:rsidRPr="000155C9" w:rsidRDefault="006973AD" w:rsidP="006973AD">
      <w:pPr>
        <w:jc w:val="center"/>
        <w:rPr>
          <w:rFonts w:ascii="Calibri" w:hAnsi="Calibri" w:cs="Calibri"/>
          <w:b/>
          <w:color w:val="FF0000"/>
          <w:sz w:val="22"/>
          <w:szCs w:val="22"/>
        </w:rPr>
      </w:pPr>
      <w:r w:rsidRPr="000155C9">
        <w:rPr>
          <w:rFonts w:ascii="Calibri" w:hAnsi="Calibri" w:cs="Calibri"/>
          <w:b/>
          <w:color w:val="FF0000"/>
          <w:sz w:val="22"/>
          <w:szCs w:val="22"/>
        </w:rPr>
        <w:t>After Hours</w:t>
      </w:r>
    </w:p>
    <w:p w14:paraId="3AD3C4C2" w14:textId="77777777" w:rsidR="006973AD" w:rsidRPr="000155C9" w:rsidRDefault="006973AD" w:rsidP="006973AD">
      <w:pPr>
        <w:jc w:val="center"/>
        <w:rPr>
          <w:rFonts w:ascii="Calibri" w:hAnsi="Calibri" w:cs="Calibri"/>
          <w:b/>
          <w:color w:val="FF0000"/>
          <w:sz w:val="22"/>
          <w:szCs w:val="22"/>
        </w:rPr>
      </w:pPr>
      <w:r w:rsidRPr="000155C9">
        <w:rPr>
          <w:rFonts w:ascii="Calibri" w:hAnsi="Calibri" w:cs="Calibri"/>
          <w:b/>
          <w:color w:val="FF0000"/>
          <w:sz w:val="22"/>
          <w:szCs w:val="22"/>
        </w:rPr>
        <w:t>Redwood Health Center Urgent Care</w:t>
      </w:r>
    </w:p>
    <w:p w14:paraId="6930251C" w14:textId="77777777" w:rsidR="006973AD" w:rsidRPr="000155C9" w:rsidRDefault="006973AD" w:rsidP="006973AD">
      <w:pPr>
        <w:jc w:val="center"/>
        <w:rPr>
          <w:rFonts w:ascii="Calibri" w:hAnsi="Calibri" w:cs="Calibri"/>
          <w:sz w:val="22"/>
          <w:szCs w:val="22"/>
        </w:rPr>
      </w:pPr>
      <w:r w:rsidRPr="000155C9">
        <w:rPr>
          <w:rFonts w:ascii="Calibri" w:hAnsi="Calibri" w:cs="Calibri"/>
          <w:sz w:val="22"/>
          <w:szCs w:val="22"/>
        </w:rPr>
        <w:t>1525 West 2100 South</w:t>
      </w:r>
    </w:p>
    <w:p w14:paraId="770C8CD1" w14:textId="77777777" w:rsidR="006973AD" w:rsidRPr="000155C9" w:rsidRDefault="006973AD" w:rsidP="006973AD">
      <w:pPr>
        <w:jc w:val="center"/>
        <w:rPr>
          <w:rFonts w:ascii="Calibri" w:hAnsi="Calibri" w:cs="Calibri"/>
          <w:sz w:val="22"/>
          <w:szCs w:val="22"/>
        </w:rPr>
      </w:pPr>
      <w:r w:rsidRPr="000155C9">
        <w:rPr>
          <w:rFonts w:ascii="Calibri" w:hAnsi="Calibri" w:cs="Calibri"/>
          <w:sz w:val="22"/>
          <w:szCs w:val="22"/>
        </w:rPr>
        <w:t>Salt Lake City, UT 84119</w:t>
      </w:r>
    </w:p>
    <w:p w14:paraId="3783327A" w14:textId="77777777" w:rsidR="006973AD" w:rsidRPr="000155C9" w:rsidRDefault="006973AD" w:rsidP="006973AD">
      <w:pPr>
        <w:jc w:val="center"/>
        <w:rPr>
          <w:rFonts w:ascii="Calibri" w:hAnsi="Calibri" w:cs="Calibri"/>
          <w:sz w:val="22"/>
          <w:szCs w:val="22"/>
        </w:rPr>
      </w:pPr>
      <w:r w:rsidRPr="000155C9">
        <w:rPr>
          <w:rFonts w:ascii="Calibri" w:hAnsi="Calibri" w:cs="Calibri"/>
          <w:sz w:val="22"/>
          <w:szCs w:val="22"/>
        </w:rPr>
        <w:t xml:space="preserve">M-F 5:00PM – </w:t>
      </w:r>
      <w:r>
        <w:rPr>
          <w:rFonts w:ascii="Calibri" w:hAnsi="Calibri" w:cs="Calibri"/>
          <w:sz w:val="22"/>
          <w:szCs w:val="22"/>
        </w:rPr>
        <w:t>8</w:t>
      </w:r>
      <w:r w:rsidRPr="000155C9">
        <w:rPr>
          <w:rFonts w:ascii="Calibri" w:hAnsi="Calibri" w:cs="Calibri"/>
          <w:sz w:val="22"/>
          <w:szCs w:val="22"/>
        </w:rPr>
        <w:t>:</w:t>
      </w:r>
      <w:r>
        <w:rPr>
          <w:rFonts w:ascii="Calibri" w:hAnsi="Calibri" w:cs="Calibri"/>
          <w:sz w:val="22"/>
          <w:szCs w:val="22"/>
        </w:rPr>
        <w:t>30</w:t>
      </w:r>
      <w:r w:rsidRPr="000155C9">
        <w:rPr>
          <w:rFonts w:ascii="Calibri" w:hAnsi="Calibri" w:cs="Calibri"/>
          <w:sz w:val="22"/>
          <w:szCs w:val="22"/>
        </w:rPr>
        <w:t>PM</w:t>
      </w:r>
    </w:p>
    <w:p w14:paraId="3F34323C" w14:textId="77777777" w:rsidR="006973AD" w:rsidRPr="000155C9" w:rsidRDefault="006973AD" w:rsidP="006973AD">
      <w:pPr>
        <w:jc w:val="center"/>
        <w:rPr>
          <w:rFonts w:ascii="Calibri" w:hAnsi="Calibri" w:cs="Calibri"/>
          <w:sz w:val="22"/>
          <w:szCs w:val="22"/>
        </w:rPr>
      </w:pPr>
      <w:r w:rsidRPr="000155C9">
        <w:rPr>
          <w:rFonts w:ascii="Calibri" w:hAnsi="Calibri" w:cs="Calibri"/>
          <w:sz w:val="22"/>
          <w:szCs w:val="22"/>
        </w:rPr>
        <w:t>Sat.-Sun.: 9:00AM – 8:</w:t>
      </w:r>
      <w:r>
        <w:rPr>
          <w:rFonts w:ascii="Calibri" w:hAnsi="Calibri" w:cs="Calibri"/>
          <w:sz w:val="22"/>
          <w:szCs w:val="22"/>
        </w:rPr>
        <w:t>3</w:t>
      </w:r>
      <w:r w:rsidRPr="000155C9">
        <w:rPr>
          <w:rFonts w:ascii="Calibri" w:hAnsi="Calibri" w:cs="Calibri"/>
          <w:sz w:val="22"/>
          <w:szCs w:val="22"/>
        </w:rPr>
        <w:t>0PM</w:t>
      </w:r>
    </w:p>
    <w:p w14:paraId="5077FF50" w14:textId="77777777" w:rsidR="006973AD" w:rsidRPr="000155C9" w:rsidRDefault="006973AD" w:rsidP="006973AD">
      <w:pPr>
        <w:jc w:val="center"/>
        <w:rPr>
          <w:rFonts w:ascii="Calibri" w:hAnsi="Calibri" w:cs="Calibri"/>
          <w:sz w:val="22"/>
          <w:szCs w:val="22"/>
        </w:rPr>
      </w:pPr>
      <w:r w:rsidRPr="000155C9">
        <w:rPr>
          <w:rFonts w:ascii="Calibri" w:hAnsi="Calibri" w:cs="Calibri"/>
          <w:sz w:val="22"/>
          <w:szCs w:val="22"/>
        </w:rPr>
        <w:t xml:space="preserve"> (801) 213-9700</w:t>
      </w:r>
    </w:p>
    <w:p w14:paraId="268A7FE6" w14:textId="77777777" w:rsidR="006973AD" w:rsidRPr="000155C9" w:rsidRDefault="006973AD" w:rsidP="006973AD">
      <w:pPr>
        <w:jc w:val="center"/>
        <w:rPr>
          <w:rFonts w:ascii="Calibri" w:hAnsi="Calibri" w:cs="Calibri"/>
          <w:sz w:val="22"/>
          <w:szCs w:val="22"/>
        </w:rPr>
      </w:pPr>
    </w:p>
    <w:p w14:paraId="2A595A3F" w14:textId="77777777" w:rsidR="006973AD" w:rsidRPr="000155C9" w:rsidRDefault="006973AD" w:rsidP="006973AD">
      <w:pPr>
        <w:jc w:val="center"/>
        <w:rPr>
          <w:rFonts w:ascii="Calibri" w:hAnsi="Calibri" w:cs="Calibri"/>
          <w:b/>
          <w:color w:val="FF0000"/>
          <w:sz w:val="22"/>
          <w:szCs w:val="22"/>
        </w:rPr>
      </w:pPr>
      <w:r w:rsidRPr="000155C9">
        <w:rPr>
          <w:rFonts w:ascii="Calibri" w:hAnsi="Calibri" w:cs="Calibri"/>
          <w:b/>
          <w:color w:val="FF0000"/>
          <w:sz w:val="22"/>
          <w:szCs w:val="22"/>
        </w:rPr>
        <w:t xml:space="preserve">After </w:t>
      </w:r>
      <w:r>
        <w:rPr>
          <w:rFonts w:ascii="Calibri" w:hAnsi="Calibri" w:cs="Calibri"/>
          <w:b/>
          <w:color w:val="FF0000"/>
          <w:sz w:val="22"/>
          <w:szCs w:val="22"/>
        </w:rPr>
        <w:t>8.30</w:t>
      </w:r>
      <w:r w:rsidRPr="000155C9">
        <w:rPr>
          <w:rFonts w:ascii="Calibri" w:hAnsi="Calibri" w:cs="Calibri"/>
          <w:b/>
          <w:color w:val="FF0000"/>
          <w:sz w:val="22"/>
          <w:szCs w:val="22"/>
        </w:rPr>
        <w:t xml:space="preserve"> PM</w:t>
      </w:r>
    </w:p>
    <w:p w14:paraId="40E7E580" w14:textId="77777777" w:rsidR="006973AD" w:rsidRPr="000155C9" w:rsidRDefault="006973AD" w:rsidP="006973AD">
      <w:pPr>
        <w:jc w:val="center"/>
        <w:rPr>
          <w:rFonts w:ascii="Calibri" w:hAnsi="Calibri" w:cs="Calibri"/>
          <w:sz w:val="22"/>
          <w:szCs w:val="22"/>
        </w:rPr>
      </w:pPr>
      <w:r w:rsidRPr="000155C9">
        <w:rPr>
          <w:rFonts w:ascii="Calibri" w:hAnsi="Calibri" w:cs="Calibri"/>
          <w:sz w:val="22"/>
          <w:szCs w:val="22"/>
        </w:rPr>
        <w:t>Emergency Department at University Hospital</w:t>
      </w:r>
    </w:p>
    <w:p w14:paraId="1B5C2556" w14:textId="77777777" w:rsidR="006973AD" w:rsidRPr="000155C9" w:rsidRDefault="006973AD" w:rsidP="006973AD">
      <w:pPr>
        <w:jc w:val="center"/>
        <w:rPr>
          <w:rFonts w:ascii="Calibri" w:hAnsi="Calibri" w:cs="Calibri"/>
          <w:sz w:val="22"/>
          <w:szCs w:val="22"/>
        </w:rPr>
      </w:pPr>
      <w:r w:rsidRPr="000155C9">
        <w:rPr>
          <w:rFonts w:ascii="Calibri" w:hAnsi="Calibri" w:cs="Calibri"/>
          <w:sz w:val="22"/>
          <w:szCs w:val="22"/>
        </w:rPr>
        <w:t>(main floor northeast side of the hospital)</w:t>
      </w:r>
    </w:p>
    <w:p w14:paraId="391112CF" w14:textId="77777777" w:rsidR="006973AD" w:rsidRPr="000155C9" w:rsidRDefault="006973AD" w:rsidP="006973AD">
      <w:pPr>
        <w:jc w:val="center"/>
        <w:rPr>
          <w:rFonts w:ascii="Calibri" w:hAnsi="Calibri" w:cs="Calibri"/>
          <w:sz w:val="22"/>
          <w:szCs w:val="22"/>
        </w:rPr>
      </w:pPr>
      <w:r w:rsidRPr="000155C9">
        <w:rPr>
          <w:rFonts w:ascii="Calibri" w:hAnsi="Calibri" w:cs="Calibri"/>
          <w:sz w:val="22"/>
          <w:szCs w:val="22"/>
        </w:rPr>
        <w:t>50 N. Medical Drive</w:t>
      </w:r>
    </w:p>
    <w:p w14:paraId="5F0B5C60" w14:textId="77777777" w:rsidR="006973AD" w:rsidRPr="000155C9" w:rsidRDefault="006973AD" w:rsidP="006973AD">
      <w:pPr>
        <w:jc w:val="center"/>
        <w:rPr>
          <w:rFonts w:ascii="Calibri" w:hAnsi="Calibri" w:cs="Calibri"/>
          <w:sz w:val="22"/>
          <w:szCs w:val="22"/>
        </w:rPr>
      </w:pPr>
      <w:r w:rsidRPr="000155C9">
        <w:rPr>
          <w:rFonts w:ascii="Calibri" w:hAnsi="Calibri" w:cs="Calibri"/>
          <w:sz w:val="22"/>
          <w:szCs w:val="22"/>
        </w:rPr>
        <w:t>Salt Lake City, UT 84132</w:t>
      </w:r>
    </w:p>
    <w:p w14:paraId="51E3AC29" w14:textId="77777777" w:rsidR="006973AD" w:rsidRPr="000155C9" w:rsidRDefault="006973AD" w:rsidP="006973AD">
      <w:pPr>
        <w:jc w:val="center"/>
        <w:rPr>
          <w:rFonts w:ascii="Calibri" w:hAnsi="Calibri" w:cs="Calibri"/>
          <w:sz w:val="22"/>
          <w:szCs w:val="22"/>
        </w:rPr>
      </w:pPr>
      <w:r w:rsidRPr="000155C9">
        <w:rPr>
          <w:rFonts w:ascii="Calibri" w:hAnsi="Calibri" w:cs="Calibri"/>
          <w:sz w:val="22"/>
          <w:szCs w:val="22"/>
        </w:rPr>
        <w:t>(801) 581-2292</w:t>
      </w:r>
    </w:p>
    <w:p w14:paraId="26508035" w14:textId="77777777" w:rsidR="006973AD" w:rsidRPr="0084255D" w:rsidRDefault="006973AD" w:rsidP="006973AD">
      <w:pPr>
        <w:jc w:val="center"/>
        <w:rPr>
          <w:rFonts w:ascii="Calibri" w:hAnsi="Calibri" w:cs="Calibri"/>
          <w:sz w:val="22"/>
          <w:szCs w:val="22"/>
        </w:rPr>
      </w:pPr>
    </w:p>
    <w:p w14:paraId="79532686" w14:textId="77777777" w:rsidR="006973AD" w:rsidRPr="0084255D" w:rsidRDefault="006973AD" w:rsidP="006973AD">
      <w:pPr>
        <w:jc w:val="center"/>
        <w:rPr>
          <w:rFonts w:ascii="Calibri" w:hAnsi="Calibri" w:cs="Calibri"/>
          <w:sz w:val="22"/>
          <w:szCs w:val="22"/>
        </w:rPr>
      </w:pPr>
    </w:p>
    <w:p w14:paraId="05F9E881" w14:textId="1CC3B7C1" w:rsidR="006973AD" w:rsidRPr="00C00179" w:rsidRDefault="006973AD" w:rsidP="00C00179">
      <w:pPr>
        <w:pStyle w:val="ListParagraph"/>
        <w:numPr>
          <w:ilvl w:val="1"/>
          <w:numId w:val="5"/>
        </w:numPr>
        <w:spacing w:line="276" w:lineRule="auto"/>
        <w:contextualSpacing/>
        <w:rPr>
          <w:rFonts w:cs="Arial"/>
        </w:rPr>
      </w:pPr>
      <w:r w:rsidRPr="00C00179">
        <w:t xml:space="preserve">Ensure that the physician is aware of all materials that were being used at the time of exposure (e.g., virus, bacteria, human tissue, animal tissue, other potentially infected material). </w:t>
      </w:r>
    </w:p>
    <w:p w14:paraId="02CD4FDD" w14:textId="60C6EE6C" w:rsidR="006973AD" w:rsidRPr="00C00179" w:rsidRDefault="006973AD" w:rsidP="00C00179">
      <w:pPr>
        <w:pStyle w:val="ListParagraph"/>
        <w:numPr>
          <w:ilvl w:val="1"/>
          <w:numId w:val="5"/>
        </w:numPr>
        <w:spacing w:line="276" w:lineRule="auto"/>
        <w:contextualSpacing/>
        <w:rPr>
          <w:b/>
        </w:rPr>
      </w:pPr>
      <w:r w:rsidRPr="00C00179">
        <w:t xml:space="preserve">Inform the Healthcare Provider of any medical conditions, such as pregnancy or immunosuppression, or drug treatment that you currently have or take. The Healthcare Provider must have this information to evaluate and develop a proper post treatment evaluation. </w:t>
      </w:r>
      <w:r w:rsidRPr="00C00179">
        <w:rPr>
          <w:color w:val="333333"/>
        </w:rPr>
        <w:t>Notify your care provider that the University of Utah worker’s compensation carrier is Worker's Compensation Fund (WCF) and give your provider the information you gave your employer regarding the accident.</w:t>
      </w:r>
    </w:p>
    <w:p w14:paraId="197D8D01" w14:textId="77777777" w:rsidR="006973AD" w:rsidRDefault="006973AD" w:rsidP="006973AD">
      <w:pPr>
        <w:pStyle w:val="ListParagraph"/>
        <w:rPr>
          <w:rFonts w:ascii="Lucida Sans Unicode" w:hAnsi="Lucida Sans Unicode" w:cs="Lucida Sans Unicode"/>
          <w:color w:val="333333"/>
          <w:sz w:val="20"/>
          <w:szCs w:val="20"/>
        </w:rPr>
      </w:pPr>
    </w:p>
    <w:p w14:paraId="0097304B" w14:textId="3FE5DFB6" w:rsidR="006973AD" w:rsidRPr="00C00179" w:rsidRDefault="006973AD" w:rsidP="00C00179">
      <w:pPr>
        <w:pStyle w:val="ListParagraph"/>
        <w:numPr>
          <w:ilvl w:val="0"/>
          <w:numId w:val="7"/>
        </w:numPr>
        <w:spacing w:line="276" w:lineRule="auto"/>
        <w:contextualSpacing/>
        <w:rPr>
          <w:b/>
        </w:rPr>
      </w:pPr>
      <w:r w:rsidRPr="00C00179">
        <w:rPr>
          <w:color w:val="333333"/>
        </w:rPr>
        <w:lastRenderedPageBreak/>
        <w:t>Write your name and social security number on all medical forms the same way it appears on all of the University's payroll information.</w:t>
      </w:r>
    </w:p>
    <w:p w14:paraId="75C5CBB3" w14:textId="0DEC0CE0" w:rsidR="006973AD" w:rsidRPr="00C00179" w:rsidRDefault="006973AD" w:rsidP="00C00179">
      <w:pPr>
        <w:pStyle w:val="ListParagraph"/>
        <w:numPr>
          <w:ilvl w:val="0"/>
          <w:numId w:val="7"/>
        </w:numPr>
        <w:spacing w:line="276" w:lineRule="auto"/>
        <w:contextualSpacing/>
        <w:rPr>
          <w:b/>
        </w:rPr>
      </w:pPr>
      <w:r w:rsidRPr="00C00179">
        <w:rPr>
          <w:color w:val="333333"/>
        </w:rPr>
        <w:t>Ask your physician to immediately send all relevant information to Workers Compensation Fun</w:t>
      </w:r>
    </w:p>
    <w:p w14:paraId="40248FD5" w14:textId="0049A39F" w:rsidR="006973AD" w:rsidRPr="00C00179" w:rsidRDefault="006973AD" w:rsidP="00C00179">
      <w:pPr>
        <w:pStyle w:val="ListParagraph"/>
        <w:numPr>
          <w:ilvl w:val="0"/>
          <w:numId w:val="10"/>
        </w:numPr>
        <w:spacing w:line="276" w:lineRule="auto"/>
        <w:contextualSpacing/>
      </w:pPr>
      <w:r w:rsidRPr="00C00179">
        <w:t>Upon returning to work, fill out the Employers First Report of Injury E1 Form. This form can be downloaded from the human resources website under “Forms” (</w:t>
      </w:r>
      <w:hyperlink r:id="rId17" w:history="1">
        <w:r w:rsidRPr="00C00179">
          <w:rPr>
            <w:rStyle w:val="Hyperlink"/>
          </w:rPr>
          <w:t>https://benefits.utah.edu/work-related-injury-or-illness</w:t>
        </w:r>
      </w:hyperlink>
      <w:r w:rsidRPr="00C00179">
        <w:t xml:space="preserve">).  </w:t>
      </w:r>
    </w:p>
    <w:p w14:paraId="2ABB8F92" w14:textId="5F47F0AB" w:rsidR="006973AD" w:rsidRPr="00C170BF" w:rsidRDefault="006973AD" w:rsidP="00C00179">
      <w:pPr>
        <w:pStyle w:val="ListParagraph"/>
        <w:numPr>
          <w:ilvl w:val="0"/>
          <w:numId w:val="10"/>
        </w:numPr>
        <w:spacing w:line="276" w:lineRule="auto"/>
        <w:contextualSpacing/>
      </w:pPr>
      <w:r w:rsidRPr="00C00179">
        <w:rPr>
          <w:rFonts w:cs="Arial"/>
        </w:rPr>
        <w:t xml:space="preserve">After medical care, ensure that the incident is immediately reported to the EHS and the Biosafety Officer (801-581-6590) or using this </w:t>
      </w:r>
      <w:hyperlink r:id="rId18" w:history="1">
        <w:r w:rsidRPr="00C00179">
          <w:rPr>
            <w:rStyle w:val="Hyperlink"/>
            <w:rFonts w:cs="Arial"/>
          </w:rPr>
          <w:t>link</w:t>
        </w:r>
      </w:hyperlink>
      <w:r w:rsidRPr="00C00179">
        <w:rPr>
          <w:rFonts w:cs="Arial"/>
        </w:rPr>
        <w:t>.</w:t>
      </w:r>
    </w:p>
    <w:p w14:paraId="3889CD18" w14:textId="77777777" w:rsidR="006973AD" w:rsidRPr="00C93E7B" w:rsidRDefault="006973AD" w:rsidP="000D5563">
      <w:pPr>
        <w:spacing w:line="276" w:lineRule="auto"/>
        <w:ind w:left="360"/>
        <w:contextualSpacing/>
        <w:rPr>
          <w:rFonts w:asciiTheme="minorHAnsi" w:hAnsiTheme="minorHAnsi" w:cstheme="minorHAnsi"/>
          <w:sz w:val="22"/>
          <w:szCs w:val="22"/>
        </w:rPr>
      </w:pPr>
    </w:p>
    <w:p w14:paraId="161799CC" w14:textId="77777777" w:rsidR="00C93E7B" w:rsidRPr="00C93E7B" w:rsidRDefault="00C93E7B" w:rsidP="00C93E7B">
      <w:pPr>
        <w:spacing w:line="276" w:lineRule="auto"/>
        <w:ind w:left="1440"/>
        <w:contextualSpacing/>
        <w:rPr>
          <w:rFonts w:asciiTheme="minorHAnsi" w:hAnsiTheme="minorHAnsi" w:cstheme="minorHAnsi"/>
          <w:sz w:val="22"/>
          <w:szCs w:val="22"/>
        </w:rPr>
      </w:pPr>
    </w:p>
    <w:p w14:paraId="1919C369" w14:textId="3A41C22A" w:rsidR="00E4151D" w:rsidRDefault="00E4151D">
      <w:pPr>
        <w:spacing w:after="160" w:line="259" w:lineRule="auto"/>
      </w:pPr>
    </w:p>
    <w:p w14:paraId="03DFC2D3" w14:textId="77777777" w:rsidR="00652670" w:rsidRDefault="00652670">
      <w:pPr>
        <w:spacing w:after="160" w:line="259" w:lineRule="auto"/>
      </w:pPr>
    </w:p>
    <w:p w14:paraId="6CB47DA5" w14:textId="77777777" w:rsidR="00A72642" w:rsidRDefault="00A72642">
      <w:pPr>
        <w:spacing w:after="160" w:line="259" w:lineRule="auto"/>
        <w:rPr>
          <w:rFonts w:ascii="Calibri" w:hAnsi="Calibri" w:cs="Calibri"/>
          <w:b/>
          <w:bCs/>
          <w:sz w:val="22"/>
          <w:szCs w:val="22"/>
        </w:rPr>
      </w:pPr>
      <w:r>
        <w:rPr>
          <w:rFonts w:ascii="Calibri" w:hAnsi="Calibri" w:cs="Calibri"/>
          <w:b/>
          <w:bCs/>
          <w:sz w:val="22"/>
          <w:szCs w:val="22"/>
        </w:rPr>
        <w:br w:type="page"/>
      </w:r>
    </w:p>
    <w:p w14:paraId="32E65F2E" w14:textId="443CD497" w:rsidR="00652670" w:rsidRDefault="00E4151D" w:rsidP="00E4151D">
      <w:pPr>
        <w:rPr>
          <w:rFonts w:ascii="Calibri" w:hAnsi="Calibri" w:cs="Calibri"/>
          <w:sz w:val="22"/>
          <w:szCs w:val="22"/>
        </w:rPr>
      </w:pPr>
      <w:r w:rsidRPr="00E4151D">
        <w:rPr>
          <w:rFonts w:ascii="Calibri" w:hAnsi="Calibri" w:cs="Calibri"/>
          <w:b/>
          <w:bCs/>
          <w:sz w:val="22"/>
          <w:szCs w:val="22"/>
        </w:rPr>
        <w:lastRenderedPageBreak/>
        <w:t xml:space="preserve">Appendix 1. </w:t>
      </w:r>
      <w:r w:rsidRPr="00652670">
        <w:rPr>
          <w:rFonts w:ascii="Calibri" w:hAnsi="Calibri" w:cs="Calibri"/>
          <w:b/>
          <w:bCs/>
          <w:sz w:val="22"/>
          <w:szCs w:val="22"/>
        </w:rPr>
        <w:t>Attestation to follow the procedures in the University of Utah Exposure Control Plan when working with Human Samples and Cells.</w:t>
      </w:r>
      <w:r>
        <w:rPr>
          <w:rFonts w:ascii="Calibri" w:hAnsi="Calibri" w:cs="Calibri"/>
          <w:sz w:val="22"/>
          <w:szCs w:val="22"/>
        </w:rPr>
        <w:t xml:space="preserve"> </w:t>
      </w:r>
    </w:p>
    <w:p w14:paraId="4A29BF8B" w14:textId="77777777" w:rsidR="00652670" w:rsidRDefault="00652670" w:rsidP="00E4151D">
      <w:pPr>
        <w:rPr>
          <w:rFonts w:ascii="Calibri" w:hAnsi="Calibri" w:cs="Calibri"/>
          <w:sz w:val="22"/>
          <w:szCs w:val="22"/>
        </w:rPr>
      </w:pPr>
    </w:p>
    <w:p w14:paraId="7565534C" w14:textId="37BE4A4E" w:rsidR="00E4151D" w:rsidRDefault="001D66E3" w:rsidP="00E4151D">
      <w:pPr>
        <w:rPr>
          <w:rFonts w:ascii="Calibri" w:hAnsi="Calibri" w:cs="Calibri"/>
          <w:sz w:val="22"/>
          <w:szCs w:val="22"/>
        </w:rPr>
      </w:pPr>
      <w:r>
        <w:rPr>
          <w:rFonts w:ascii="Calibri" w:hAnsi="Calibri" w:cs="Calibri"/>
          <w:sz w:val="22"/>
          <w:szCs w:val="22"/>
        </w:rPr>
        <w:t xml:space="preserve">The University of Utah campus-wide Exposure Control Plan (ECP) describes the </w:t>
      </w:r>
      <w:r w:rsidR="00A46610">
        <w:rPr>
          <w:rFonts w:ascii="Calibri" w:hAnsi="Calibri" w:cs="Calibri"/>
          <w:sz w:val="22"/>
          <w:szCs w:val="22"/>
        </w:rPr>
        <w:t xml:space="preserve">complete guidelines for working with blood and other potentially infectious material (OPIM) at the University of Utah. This includes the federal regulations, roles of University officers, </w:t>
      </w:r>
      <w:r>
        <w:rPr>
          <w:rFonts w:ascii="Calibri" w:hAnsi="Calibri" w:cs="Calibri"/>
          <w:sz w:val="22"/>
          <w:szCs w:val="22"/>
        </w:rPr>
        <w:t>risks, work and engineering controls, PPE requirements, waste disposal requirements</w:t>
      </w:r>
      <w:r w:rsidR="00A46610">
        <w:rPr>
          <w:rFonts w:ascii="Calibri" w:hAnsi="Calibri" w:cs="Calibri"/>
          <w:sz w:val="22"/>
          <w:szCs w:val="22"/>
        </w:rPr>
        <w:t>, and spill and exposure responses</w:t>
      </w:r>
      <w:r w:rsidR="00E4151D">
        <w:rPr>
          <w:rFonts w:ascii="Calibri" w:hAnsi="Calibri" w:cs="Calibri"/>
          <w:sz w:val="22"/>
          <w:szCs w:val="22"/>
        </w:rPr>
        <w:t>.</w:t>
      </w:r>
      <w:r w:rsidR="00A46610">
        <w:rPr>
          <w:rFonts w:ascii="Calibri" w:hAnsi="Calibri" w:cs="Calibri"/>
          <w:sz w:val="22"/>
          <w:szCs w:val="22"/>
        </w:rPr>
        <w:t xml:space="preserve"> The institute’s ECP is updated annually by the Biosafety Officer and posted on the IBC website. </w:t>
      </w:r>
      <w:r w:rsidR="00E4151D">
        <w:rPr>
          <w:rFonts w:ascii="Calibri" w:hAnsi="Calibri" w:cs="Calibri"/>
          <w:sz w:val="22"/>
          <w:szCs w:val="22"/>
        </w:rPr>
        <w:t xml:space="preserve">  </w:t>
      </w:r>
    </w:p>
    <w:p w14:paraId="4B397981" w14:textId="77777777" w:rsidR="00E4151D" w:rsidRDefault="00E4151D" w:rsidP="00E4151D">
      <w:pPr>
        <w:rPr>
          <w:rFonts w:ascii="Calibri" w:hAnsi="Calibri" w:cs="Calibri"/>
          <w:sz w:val="22"/>
          <w:szCs w:val="22"/>
        </w:rPr>
      </w:pPr>
    </w:p>
    <w:p w14:paraId="76F71D1B" w14:textId="24311DDF" w:rsidR="00E4151D" w:rsidRDefault="00A46610" w:rsidP="00E4151D">
      <w:pPr>
        <w:rPr>
          <w:rFonts w:ascii="Calibri" w:hAnsi="Calibri" w:cs="Calibri"/>
          <w:sz w:val="22"/>
          <w:szCs w:val="22"/>
        </w:rPr>
      </w:pPr>
      <w:r>
        <w:rPr>
          <w:rFonts w:ascii="Calibri" w:hAnsi="Calibri" w:cs="Calibri"/>
          <w:sz w:val="22"/>
          <w:szCs w:val="22"/>
        </w:rPr>
        <w:t xml:space="preserve">Here, members of the </w:t>
      </w:r>
      <w:r w:rsidR="00B46D1D" w:rsidRPr="000D5563">
        <w:rPr>
          <w:rFonts w:ascii="Calibri" w:hAnsi="Calibri" w:cs="Calibri"/>
          <w:i/>
          <w:color w:val="FF0000"/>
          <w:sz w:val="22"/>
          <w:szCs w:val="22"/>
        </w:rPr>
        <w:t>Name</w:t>
      </w:r>
      <w:r w:rsidR="00B46D1D">
        <w:rPr>
          <w:rFonts w:ascii="Calibri" w:hAnsi="Calibri" w:cs="Calibri"/>
          <w:sz w:val="22"/>
          <w:szCs w:val="22"/>
        </w:rPr>
        <w:t xml:space="preserve"> </w:t>
      </w:r>
      <w:r>
        <w:rPr>
          <w:rFonts w:ascii="Calibri" w:hAnsi="Calibri" w:cs="Calibri"/>
          <w:sz w:val="22"/>
          <w:szCs w:val="22"/>
        </w:rPr>
        <w:t xml:space="preserve">Laboratory attest to familiarity with the guidelines in the U of U ECP and agree to work according to the guidelines. </w:t>
      </w:r>
    </w:p>
    <w:p w14:paraId="42F6D43E" w14:textId="1239285E" w:rsidR="00A46610" w:rsidRDefault="00A46610" w:rsidP="00E4151D">
      <w:pPr>
        <w:rPr>
          <w:rFonts w:ascii="Calibri" w:hAnsi="Calibri" w:cs="Calibri"/>
          <w:sz w:val="22"/>
          <w:szCs w:val="22"/>
        </w:rPr>
      </w:pPr>
    </w:p>
    <w:p w14:paraId="35CE4975" w14:textId="1B46EE22" w:rsidR="00A46610" w:rsidRDefault="00A46610" w:rsidP="00E4151D">
      <w:pPr>
        <w:rPr>
          <w:rFonts w:ascii="Calibri" w:hAnsi="Calibri" w:cs="Calibri"/>
          <w:sz w:val="22"/>
          <w:szCs w:val="22"/>
        </w:rPr>
      </w:pPr>
      <w:r>
        <w:rPr>
          <w:rFonts w:ascii="Calibri" w:hAnsi="Calibri" w:cs="Calibri"/>
          <w:sz w:val="22"/>
          <w:szCs w:val="22"/>
        </w:rPr>
        <w:t xml:space="preserve">Signing this document each year indicates an annual review of this SOP, the U of U’s ECP and completion of annual BBP training, all of which are required to work with human samples at the University of Utah. </w:t>
      </w:r>
    </w:p>
    <w:p w14:paraId="7538B77F" w14:textId="77777777" w:rsidR="00E4151D" w:rsidRDefault="00E4151D" w:rsidP="00E4151D">
      <w:pPr>
        <w:rPr>
          <w:rFonts w:ascii="Calibri" w:hAnsi="Calibri" w:cs="Calibri"/>
          <w:sz w:val="22"/>
          <w:szCs w:val="22"/>
        </w:rPr>
      </w:pPr>
    </w:p>
    <w:p w14:paraId="3BD544BD" w14:textId="77777777" w:rsidR="00E4151D" w:rsidRDefault="00E4151D" w:rsidP="00E4151D">
      <w:pPr>
        <w:spacing w:after="120" w:line="276" w:lineRule="auto"/>
        <w:rPr>
          <w:rFonts w:ascii="Calibri" w:hAnsi="Calibri" w:cs="Calibri"/>
          <w:b/>
          <w:bCs/>
          <w:color w:val="000000"/>
          <w:sz w:val="22"/>
          <w:szCs w:val="22"/>
        </w:rPr>
      </w:pPr>
      <w:bookmarkStart w:id="1" w:name="_Toc47684995"/>
      <w:r>
        <w:rPr>
          <w:rFonts w:ascii="Calibri" w:hAnsi="Calibri" w:cs="Calibri"/>
          <w:b/>
          <w:bCs/>
          <w:color w:val="000000"/>
          <w:sz w:val="22"/>
          <w:szCs w:val="22"/>
        </w:rPr>
        <w:t>Signature and Acknowledgement of Risk</w:t>
      </w:r>
    </w:p>
    <w:p w14:paraId="3FBC1ABE" w14:textId="39E1B2F7" w:rsidR="00E4151D" w:rsidRPr="00841071" w:rsidRDefault="00E4151D" w:rsidP="00E4151D">
      <w:pPr>
        <w:spacing w:after="120" w:line="276" w:lineRule="auto"/>
        <w:rPr>
          <w:rFonts w:ascii="Calibri" w:eastAsia="Calibri" w:hAnsi="Calibri" w:cs="Calibri"/>
          <w:sz w:val="22"/>
          <w:szCs w:val="22"/>
        </w:rPr>
      </w:pPr>
      <w:r>
        <w:rPr>
          <w:rFonts w:ascii="Calibri" w:hAnsi="Calibri" w:cs="Calibri"/>
          <w:sz w:val="22"/>
          <w:szCs w:val="22"/>
        </w:rPr>
        <w:t xml:space="preserve">We, the undersigned, understand that the agents used in this laboratory and described in this plan are potentially hazardous.  We have read and understand this plan and agree to follow the stated policies and procedures.  </w:t>
      </w:r>
    </w:p>
    <w:tbl>
      <w:tblPr>
        <w:tblW w:w="1000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2808"/>
        <w:gridCol w:w="3150"/>
        <w:gridCol w:w="1778"/>
        <w:gridCol w:w="2272"/>
      </w:tblGrid>
      <w:tr w:rsidR="00E4151D" w14:paraId="4F627B3B" w14:textId="77777777" w:rsidTr="00E4151D">
        <w:trPr>
          <w:trHeight w:val="566"/>
        </w:trPr>
        <w:tc>
          <w:tcPr>
            <w:tcW w:w="2808" w:type="dxa"/>
            <w:tcBorders>
              <w:top w:val="single" w:sz="4" w:space="0" w:color="auto"/>
              <w:left w:val="single" w:sz="4" w:space="0" w:color="auto"/>
              <w:bottom w:val="single" w:sz="4" w:space="0" w:color="auto"/>
              <w:right w:val="single" w:sz="4" w:space="0" w:color="auto"/>
            </w:tcBorders>
            <w:shd w:val="clear" w:color="auto" w:fill="A5A5A5"/>
            <w:hideMark/>
          </w:tcPr>
          <w:p w14:paraId="2E5AB0C8" w14:textId="77777777" w:rsidR="00E4151D" w:rsidRDefault="00E4151D">
            <w:pPr>
              <w:pStyle w:val="Header"/>
              <w:spacing w:after="120" w:line="276" w:lineRule="auto"/>
              <w:jc w:val="center"/>
              <w:rPr>
                <w:rFonts w:ascii="Calibri" w:eastAsia="Calibri" w:hAnsi="Calibri" w:cs="Calibri"/>
              </w:rPr>
            </w:pPr>
            <w:r>
              <w:rPr>
                <w:rFonts w:ascii="Calibri" w:eastAsia="Calibri" w:hAnsi="Calibri" w:cs="Calibri"/>
                <w:b/>
                <w:bCs/>
                <w:color w:val="000000"/>
              </w:rPr>
              <w:t>Name</w:t>
            </w:r>
          </w:p>
        </w:tc>
        <w:tc>
          <w:tcPr>
            <w:tcW w:w="3150" w:type="dxa"/>
            <w:tcBorders>
              <w:top w:val="single" w:sz="4" w:space="0" w:color="auto"/>
              <w:left w:val="single" w:sz="4" w:space="0" w:color="auto"/>
              <w:bottom w:val="single" w:sz="4" w:space="0" w:color="auto"/>
              <w:right w:val="single" w:sz="4" w:space="0" w:color="auto"/>
            </w:tcBorders>
            <w:shd w:val="clear" w:color="auto" w:fill="A5A5A5"/>
            <w:hideMark/>
          </w:tcPr>
          <w:p w14:paraId="683CC69D" w14:textId="77777777" w:rsidR="00E4151D" w:rsidRDefault="00E4151D">
            <w:pPr>
              <w:spacing w:after="120" w:line="276" w:lineRule="auto"/>
              <w:jc w:val="center"/>
              <w:rPr>
                <w:rFonts w:ascii="Calibri" w:eastAsia="Calibri" w:hAnsi="Calibri" w:cs="Calibri"/>
                <w:b/>
                <w:bCs/>
                <w:color w:val="000000"/>
              </w:rPr>
            </w:pPr>
            <w:r>
              <w:rPr>
                <w:rFonts w:ascii="Calibri" w:eastAsia="Calibri" w:hAnsi="Calibri" w:cs="Calibri"/>
                <w:b/>
                <w:bCs/>
                <w:color w:val="000000"/>
              </w:rPr>
              <w:t>Signature</w:t>
            </w:r>
          </w:p>
        </w:tc>
        <w:tc>
          <w:tcPr>
            <w:tcW w:w="1778" w:type="dxa"/>
            <w:tcBorders>
              <w:top w:val="single" w:sz="4" w:space="0" w:color="auto"/>
              <w:left w:val="single" w:sz="4" w:space="0" w:color="auto"/>
              <w:bottom w:val="single" w:sz="4" w:space="0" w:color="auto"/>
              <w:right w:val="single" w:sz="4" w:space="0" w:color="auto"/>
            </w:tcBorders>
            <w:shd w:val="clear" w:color="auto" w:fill="A5A5A5"/>
            <w:hideMark/>
          </w:tcPr>
          <w:p w14:paraId="7E9C6CB1" w14:textId="77777777" w:rsidR="00E4151D" w:rsidRDefault="00E4151D">
            <w:pPr>
              <w:spacing w:after="120" w:line="276" w:lineRule="auto"/>
              <w:jc w:val="center"/>
              <w:rPr>
                <w:rFonts w:ascii="Calibri" w:eastAsia="Calibri" w:hAnsi="Calibri" w:cs="Calibri"/>
                <w:b/>
                <w:bCs/>
                <w:color w:val="000000"/>
              </w:rPr>
            </w:pPr>
            <w:r>
              <w:rPr>
                <w:rFonts w:ascii="Calibri" w:eastAsia="Calibri" w:hAnsi="Calibri" w:cs="Calibri"/>
                <w:b/>
                <w:bCs/>
                <w:color w:val="000000"/>
              </w:rPr>
              <w:t>Date Reviewed Manual</w:t>
            </w:r>
          </w:p>
        </w:tc>
        <w:tc>
          <w:tcPr>
            <w:tcW w:w="2272" w:type="dxa"/>
            <w:tcBorders>
              <w:top w:val="single" w:sz="4" w:space="0" w:color="auto"/>
              <w:left w:val="single" w:sz="4" w:space="0" w:color="auto"/>
              <w:bottom w:val="single" w:sz="4" w:space="0" w:color="auto"/>
              <w:right w:val="single" w:sz="4" w:space="0" w:color="auto"/>
            </w:tcBorders>
            <w:shd w:val="clear" w:color="auto" w:fill="A5A5A5"/>
            <w:hideMark/>
          </w:tcPr>
          <w:p w14:paraId="5202C593" w14:textId="77777777" w:rsidR="00E4151D" w:rsidRDefault="00E4151D">
            <w:pPr>
              <w:spacing w:after="120" w:line="276" w:lineRule="auto"/>
              <w:jc w:val="center"/>
              <w:rPr>
                <w:rFonts w:ascii="Calibri" w:eastAsia="Calibri" w:hAnsi="Calibri" w:cs="Calibri"/>
                <w:b/>
                <w:bCs/>
                <w:color w:val="000000"/>
              </w:rPr>
            </w:pPr>
            <w:r>
              <w:rPr>
                <w:rFonts w:ascii="Calibri" w:eastAsia="Calibri" w:hAnsi="Calibri" w:cs="Calibri"/>
                <w:b/>
                <w:bCs/>
                <w:color w:val="000000"/>
              </w:rPr>
              <w:t>Date completed BBP training</w:t>
            </w:r>
          </w:p>
        </w:tc>
      </w:tr>
      <w:tr w:rsidR="00E4151D" w14:paraId="7B789D2C" w14:textId="77777777" w:rsidTr="00E4151D">
        <w:trPr>
          <w:trHeight w:val="323"/>
        </w:trPr>
        <w:tc>
          <w:tcPr>
            <w:tcW w:w="2808" w:type="dxa"/>
            <w:tcBorders>
              <w:top w:val="single" w:sz="4" w:space="0" w:color="auto"/>
              <w:left w:val="single" w:sz="4" w:space="0" w:color="C9C9C9"/>
              <w:bottom w:val="single" w:sz="4" w:space="0" w:color="C9C9C9"/>
              <w:right w:val="single" w:sz="4" w:space="0" w:color="C9C9C9"/>
            </w:tcBorders>
            <w:shd w:val="clear" w:color="auto" w:fill="EDEDED"/>
          </w:tcPr>
          <w:p w14:paraId="101E76AE" w14:textId="77777777" w:rsidR="00E4151D" w:rsidRDefault="00E4151D">
            <w:pPr>
              <w:spacing w:after="120" w:line="276" w:lineRule="auto"/>
              <w:rPr>
                <w:rFonts w:ascii="Calibri" w:eastAsia="Calibri" w:hAnsi="Calibri" w:cs="Calibri"/>
                <w:b/>
                <w:bCs/>
              </w:rPr>
            </w:pPr>
          </w:p>
        </w:tc>
        <w:tc>
          <w:tcPr>
            <w:tcW w:w="3150" w:type="dxa"/>
            <w:tcBorders>
              <w:top w:val="single" w:sz="4" w:space="0" w:color="auto"/>
              <w:left w:val="single" w:sz="4" w:space="0" w:color="C9C9C9"/>
              <w:bottom w:val="single" w:sz="4" w:space="0" w:color="C9C9C9"/>
              <w:right w:val="single" w:sz="4" w:space="0" w:color="C9C9C9"/>
            </w:tcBorders>
            <w:shd w:val="clear" w:color="auto" w:fill="EDEDED"/>
          </w:tcPr>
          <w:p w14:paraId="7BBBA86E" w14:textId="77777777" w:rsidR="00E4151D" w:rsidRDefault="00E4151D">
            <w:pPr>
              <w:spacing w:after="120" w:line="276" w:lineRule="auto"/>
              <w:rPr>
                <w:rFonts w:ascii="Calibri" w:eastAsia="Calibri" w:hAnsi="Calibri" w:cs="Calibri"/>
              </w:rPr>
            </w:pPr>
          </w:p>
        </w:tc>
        <w:tc>
          <w:tcPr>
            <w:tcW w:w="1778" w:type="dxa"/>
            <w:tcBorders>
              <w:top w:val="single" w:sz="4" w:space="0" w:color="auto"/>
              <w:left w:val="single" w:sz="4" w:space="0" w:color="C9C9C9"/>
              <w:bottom w:val="single" w:sz="4" w:space="0" w:color="C9C9C9"/>
              <w:right w:val="single" w:sz="4" w:space="0" w:color="C9C9C9"/>
            </w:tcBorders>
            <w:shd w:val="clear" w:color="auto" w:fill="EDEDED"/>
          </w:tcPr>
          <w:p w14:paraId="69397F24" w14:textId="77777777" w:rsidR="00E4151D" w:rsidRDefault="00E4151D">
            <w:pPr>
              <w:spacing w:after="120" w:line="276" w:lineRule="auto"/>
              <w:rPr>
                <w:rFonts w:ascii="Calibri" w:eastAsia="Calibri" w:hAnsi="Calibri" w:cs="Calibri"/>
              </w:rPr>
            </w:pPr>
          </w:p>
        </w:tc>
        <w:tc>
          <w:tcPr>
            <w:tcW w:w="2272" w:type="dxa"/>
            <w:tcBorders>
              <w:top w:val="single" w:sz="4" w:space="0" w:color="auto"/>
              <w:left w:val="single" w:sz="4" w:space="0" w:color="C9C9C9"/>
              <w:bottom w:val="single" w:sz="4" w:space="0" w:color="C9C9C9"/>
              <w:right w:val="single" w:sz="4" w:space="0" w:color="C9C9C9"/>
            </w:tcBorders>
            <w:shd w:val="clear" w:color="auto" w:fill="EDEDED"/>
          </w:tcPr>
          <w:p w14:paraId="5DCF7998" w14:textId="77777777" w:rsidR="00E4151D" w:rsidRDefault="00E4151D">
            <w:pPr>
              <w:spacing w:after="120" w:line="276" w:lineRule="auto"/>
              <w:rPr>
                <w:rFonts w:ascii="Calibri" w:eastAsia="Calibri" w:hAnsi="Calibri" w:cs="Calibri"/>
              </w:rPr>
            </w:pPr>
          </w:p>
        </w:tc>
      </w:tr>
      <w:tr w:rsidR="00E4151D" w14:paraId="68A30934" w14:textId="77777777" w:rsidTr="00E4151D">
        <w:trPr>
          <w:trHeight w:val="304"/>
        </w:trPr>
        <w:tc>
          <w:tcPr>
            <w:tcW w:w="2808" w:type="dxa"/>
            <w:tcBorders>
              <w:top w:val="single" w:sz="4" w:space="0" w:color="C9C9C9"/>
              <w:left w:val="single" w:sz="4" w:space="0" w:color="C9C9C9"/>
              <w:bottom w:val="single" w:sz="4" w:space="0" w:color="C9C9C9"/>
              <w:right w:val="single" w:sz="4" w:space="0" w:color="C9C9C9"/>
            </w:tcBorders>
          </w:tcPr>
          <w:p w14:paraId="5D32A2D5" w14:textId="77777777" w:rsidR="00E4151D" w:rsidRDefault="00E4151D">
            <w:pPr>
              <w:spacing w:after="120" w:line="276" w:lineRule="auto"/>
              <w:rPr>
                <w:rFonts w:ascii="Calibri" w:eastAsia="Calibri" w:hAnsi="Calibri" w:cs="Calibri"/>
                <w:b/>
                <w:bCs/>
              </w:rPr>
            </w:pPr>
          </w:p>
        </w:tc>
        <w:tc>
          <w:tcPr>
            <w:tcW w:w="3150" w:type="dxa"/>
            <w:tcBorders>
              <w:top w:val="single" w:sz="4" w:space="0" w:color="C9C9C9"/>
              <w:left w:val="single" w:sz="4" w:space="0" w:color="C9C9C9"/>
              <w:bottom w:val="single" w:sz="4" w:space="0" w:color="C9C9C9"/>
              <w:right w:val="single" w:sz="4" w:space="0" w:color="C9C9C9"/>
            </w:tcBorders>
          </w:tcPr>
          <w:p w14:paraId="7A9DBD56" w14:textId="77777777" w:rsidR="00E4151D" w:rsidRDefault="00E4151D">
            <w:pPr>
              <w:spacing w:after="120" w:line="276" w:lineRule="auto"/>
              <w:rPr>
                <w:rFonts w:ascii="Calibri" w:eastAsia="Calibri" w:hAnsi="Calibri" w:cs="Calibri"/>
              </w:rPr>
            </w:pPr>
          </w:p>
        </w:tc>
        <w:tc>
          <w:tcPr>
            <w:tcW w:w="1778" w:type="dxa"/>
            <w:tcBorders>
              <w:top w:val="single" w:sz="4" w:space="0" w:color="C9C9C9"/>
              <w:left w:val="single" w:sz="4" w:space="0" w:color="C9C9C9"/>
              <w:bottom w:val="single" w:sz="4" w:space="0" w:color="C9C9C9"/>
              <w:right w:val="single" w:sz="4" w:space="0" w:color="C9C9C9"/>
            </w:tcBorders>
          </w:tcPr>
          <w:p w14:paraId="10758508" w14:textId="77777777" w:rsidR="00E4151D" w:rsidRDefault="00E4151D">
            <w:pPr>
              <w:spacing w:after="120" w:line="276" w:lineRule="auto"/>
              <w:rPr>
                <w:rFonts w:ascii="Calibri" w:eastAsia="Calibri" w:hAnsi="Calibri" w:cs="Calibri"/>
              </w:rPr>
            </w:pPr>
          </w:p>
        </w:tc>
        <w:tc>
          <w:tcPr>
            <w:tcW w:w="2272" w:type="dxa"/>
            <w:tcBorders>
              <w:top w:val="single" w:sz="4" w:space="0" w:color="C9C9C9"/>
              <w:left w:val="single" w:sz="4" w:space="0" w:color="C9C9C9"/>
              <w:bottom w:val="single" w:sz="4" w:space="0" w:color="C9C9C9"/>
              <w:right w:val="single" w:sz="4" w:space="0" w:color="C9C9C9"/>
            </w:tcBorders>
          </w:tcPr>
          <w:p w14:paraId="077D2FE5" w14:textId="77777777" w:rsidR="00E4151D" w:rsidRDefault="00E4151D">
            <w:pPr>
              <w:spacing w:after="120" w:line="276" w:lineRule="auto"/>
              <w:rPr>
                <w:rFonts w:ascii="Calibri" w:eastAsia="Calibri" w:hAnsi="Calibri" w:cs="Calibri"/>
              </w:rPr>
            </w:pPr>
          </w:p>
        </w:tc>
      </w:tr>
      <w:tr w:rsidR="00E4151D" w14:paraId="6DDC015E" w14:textId="77777777" w:rsidTr="00E4151D">
        <w:trPr>
          <w:trHeight w:val="323"/>
        </w:trPr>
        <w:tc>
          <w:tcPr>
            <w:tcW w:w="2808" w:type="dxa"/>
            <w:tcBorders>
              <w:top w:val="single" w:sz="4" w:space="0" w:color="C9C9C9"/>
              <w:left w:val="single" w:sz="4" w:space="0" w:color="C9C9C9"/>
              <w:bottom w:val="single" w:sz="4" w:space="0" w:color="C9C9C9"/>
              <w:right w:val="single" w:sz="4" w:space="0" w:color="C9C9C9"/>
            </w:tcBorders>
            <w:shd w:val="clear" w:color="auto" w:fill="EDEDED"/>
          </w:tcPr>
          <w:p w14:paraId="51A505C1" w14:textId="77777777" w:rsidR="00E4151D" w:rsidRDefault="00E4151D">
            <w:pPr>
              <w:spacing w:after="120" w:line="276" w:lineRule="auto"/>
              <w:rPr>
                <w:rFonts w:ascii="Calibri" w:eastAsia="Calibri" w:hAnsi="Calibri" w:cs="Calibri"/>
              </w:rPr>
            </w:pPr>
          </w:p>
        </w:tc>
        <w:tc>
          <w:tcPr>
            <w:tcW w:w="3150" w:type="dxa"/>
            <w:tcBorders>
              <w:top w:val="single" w:sz="4" w:space="0" w:color="C9C9C9"/>
              <w:left w:val="single" w:sz="4" w:space="0" w:color="C9C9C9"/>
              <w:bottom w:val="single" w:sz="4" w:space="0" w:color="C9C9C9"/>
              <w:right w:val="single" w:sz="4" w:space="0" w:color="C9C9C9"/>
            </w:tcBorders>
            <w:shd w:val="clear" w:color="auto" w:fill="EDEDED"/>
          </w:tcPr>
          <w:p w14:paraId="42DA8C3D" w14:textId="77777777" w:rsidR="00E4151D" w:rsidRDefault="00E4151D">
            <w:pPr>
              <w:spacing w:after="120" w:line="276" w:lineRule="auto"/>
              <w:rPr>
                <w:rFonts w:ascii="Calibri" w:eastAsia="Calibri" w:hAnsi="Calibri" w:cs="Calibri"/>
              </w:rPr>
            </w:pPr>
          </w:p>
        </w:tc>
        <w:tc>
          <w:tcPr>
            <w:tcW w:w="1778" w:type="dxa"/>
            <w:tcBorders>
              <w:top w:val="single" w:sz="4" w:space="0" w:color="C9C9C9"/>
              <w:left w:val="single" w:sz="4" w:space="0" w:color="C9C9C9"/>
              <w:bottom w:val="single" w:sz="4" w:space="0" w:color="C9C9C9"/>
              <w:right w:val="single" w:sz="4" w:space="0" w:color="C9C9C9"/>
            </w:tcBorders>
            <w:shd w:val="clear" w:color="auto" w:fill="EDEDED"/>
          </w:tcPr>
          <w:p w14:paraId="5542D2CE" w14:textId="77777777" w:rsidR="00E4151D" w:rsidRDefault="00E4151D">
            <w:pPr>
              <w:spacing w:after="120" w:line="276" w:lineRule="auto"/>
              <w:rPr>
                <w:rFonts w:ascii="Calibri" w:eastAsia="Calibri" w:hAnsi="Calibri" w:cs="Calibri"/>
              </w:rPr>
            </w:pPr>
          </w:p>
        </w:tc>
        <w:tc>
          <w:tcPr>
            <w:tcW w:w="2272" w:type="dxa"/>
            <w:tcBorders>
              <w:top w:val="single" w:sz="4" w:space="0" w:color="C9C9C9"/>
              <w:left w:val="single" w:sz="4" w:space="0" w:color="C9C9C9"/>
              <w:bottom w:val="single" w:sz="4" w:space="0" w:color="C9C9C9"/>
              <w:right w:val="single" w:sz="4" w:space="0" w:color="C9C9C9"/>
            </w:tcBorders>
            <w:shd w:val="clear" w:color="auto" w:fill="EDEDED"/>
          </w:tcPr>
          <w:p w14:paraId="7F9E1015" w14:textId="77777777" w:rsidR="00E4151D" w:rsidRDefault="00E4151D">
            <w:pPr>
              <w:spacing w:after="120" w:line="276" w:lineRule="auto"/>
              <w:rPr>
                <w:rFonts w:ascii="Calibri" w:eastAsia="Calibri" w:hAnsi="Calibri" w:cs="Calibri"/>
              </w:rPr>
            </w:pPr>
          </w:p>
        </w:tc>
      </w:tr>
      <w:tr w:rsidR="00E4151D" w14:paraId="5DBE5E5C" w14:textId="77777777" w:rsidTr="00E4151D">
        <w:trPr>
          <w:trHeight w:val="304"/>
        </w:trPr>
        <w:tc>
          <w:tcPr>
            <w:tcW w:w="2808" w:type="dxa"/>
            <w:tcBorders>
              <w:top w:val="single" w:sz="4" w:space="0" w:color="C9C9C9"/>
              <w:left w:val="single" w:sz="4" w:space="0" w:color="C9C9C9"/>
              <w:bottom w:val="single" w:sz="4" w:space="0" w:color="C9C9C9"/>
              <w:right w:val="single" w:sz="4" w:space="0" w:color="C9C9C9"/>
            </w:tcBorders>
          </w:tcPr>
          <w:p w14:paraId="2C2D6A36" w14:textId="77777777" w:rsidR="00E4151D" w:rsidRDefault="00E4151D">
            <w:pPr>
              <w:spacing w:after="120" w:line="276" w:lineRule="auto"/>
              <w:rPr>
                <w:rFonts w:ascii="Calibri" w:eastAsia="Calibri" w:hAnsi="Calibri" w:cs="Calibri"/>
              </w:rPr>
            </w:pPr>
          </w:p>
        </w:tc>
        <w:tc>
          <w:tcPr>
            <w:tcW w:w="3150" w:type="dxa"/>
            <w:tcBorders>
              <w:top w:val="single" w:sz="4" w:space="0" w:color="C9C9C9"/>
              <w:left w:val="single" w:sz="4" w:space="0" w:color="C9C9C9"/>
              <w:bottom w:val="single" w:sz="4" w:space="0" w:color="C9C9C9"/>
              <w:right w:val="single" w:sz="4" w:space="0" w:color="C9C9C9"/>
            </w:tcBorders>
          </w:tcPr>
          <w:p w14:paraId="65506538" w14:textId="77777777" w:rsidR="00E4151D" w:rsidRDefault="00E4151D">
            <w:pPr>
              <w:spacing w:after="120" w:line="276" w:lineRule="auto"/>
              <w:rPr>
                <w:rFonts w:ascii="Calibri" w:eastAsia="Calibri" w:hAnsi="Calibri" w:cs="Calibri"/>
              </w:rPr>
            </w:pPr>
          </w:p>
        </w:tc>
        <w:tc>
          <w:tcPr>
            <w:tcW w:w="1778" w:type="dxa"/>
            <w:tcBorders>
              <w:top w:val="single" w:sz="4" w:space="0" w:color="C9C9C9"/>
              <w:left w:val="single" w:sz="4" w:space="0" w:color="C9C9C9"/>
              <w:bottom w:val="single" w:sz="4" w:space="0" w:color="C9C9C9"/>
              <w:right w:val="single" w:sz="4" w:space="0" w:color="C9C9C9"/>
            </w:tcBorders>
          </w:tcPr>
          <w:p w14:paraId="5847F9BF" w14:textId="77777777" w:rsidR="00E4151D" w:rsidRDefault="00E4151D">
            <w:pPr>
              <w:spacing w:after="120" w:line="276" w:lineRule="auto"/>
              <w:rPr>
                <w:rFonts w:ascii="Calibri" w:eastAsia="Calibri" w:hAnsi="Calibri" w:cs="Calibri"/>
              </w:rPr>
            </w:pPr>
          </w:p>
        </w:tc>
        <w:tc>
          <w:tcPr>
            <w:tcW w:w="2272" w:type="dxa"/>
            <w:tcBorders>
              <w:top w:val="single" w:sz="4" w:space="0" w:color="C9C9C9"/>
              <w:left w:val="single" w:sz="4" w:space="0" w:color="C9C9C9"/>
              <w:bottom w:val="single" w:sz="4" w:space="0" w:color="C9C9C9"/>
              <w:right w:val="single" w:sz="4" w:space="0" w:color="C9C9C9"/>
            </w:tcBorders>
          </w:tcPr>
          <w:p w14:paraId="5C44FD82" w14:textId="77777777" w:rsidR="00E4151D" w:rsidRDefault="00E4151D">
            <w:pPr>
              <w:spacing w:after="120" w:line="276" w:lineRule="auto"/>
              <w:rPr>
                <w:rFonts w:ascii="Calibri" w:eastAsia="Calibri" w:hAnsi="Calibri" w:cs="Calibri"/>
              </w:rPr>
            </w:pPr>
          </w:p>
        </w:tc>
      </w:tr>
      <w:tr w:rsidR="00E4151D" w14:paraId="40C88B6B" w14:textId="77777777" w:rsidTr="00841071">
        <w:trPr>
          <w:trHeight w:val="323"/>
        </w:trPr>
        <w:tc>
          <w:tcPr>
            <w:tcW w:w="2808" w:type="dxa"/>
            <w:tcBorders>
              <w:top w:val="single" w:sz="4" w:space="0" w:color="C9C9C9"/>
              <w:left w:val="single" w:sz="4" w:space="0" w:color="C9C9C9"/>
              <w:bottom w:val="single" w:sz="4" w:space="0" w:color="C9C9C9"/>
              <w:right w:val="single" w:sz="4" w:space="0" w:color="C9C9C9"/>
            </w:tcBorders>
            <w:shd w:val="clear" w:color="auto" w:fill="F2F2F2" w:themeFill="background1" w:themeFillShade="F2"/>
          </w:tcPr>
          <w:p w14:paraId="6B36CC1B" w14:textId="77777777" w:rsidR="00E4151D" w:rsidRDefault="00E4151D">
            <w:pPr>
              <w:spacing w:after="120" w:line="276" w:lineRule="auto"/>
              <w:rPr>
                <w:rFonts w:ascii="Calibri" w:eastAsia="Calibri" w:hAnsi="Calibri" w:cs="Calibri"/>
              </w:rPr>
            </w:pPr>
          </w:p>
        </w:tc>
        <w:tc>
          <w:tcPr>
            <w:tcW w:w="3150" w:type="dxa"/>
            <w:tcBorders>
              <w:top w:val="single" w:sz="4" w:space="0" w:color="C9C9C9"/>
              <w:left w:val="single" w:sz="4" w:space="0" w:color="C9C9C9"/>
              <w:bottom w:val="single" w:sz="4" w:space="0" w:color="C9C9C9"/>
              <w:right w:val="single" w:sz="4" w:space="0" w:color="C9C9C9"/>
            </w:tcBorders>
            <w:shd w:val="clear" w:color="auto" w:fill="F2F2F2" w:themeFill="background1" w:themeFillShade="F2"/>
          </w:tcPr>
          <w:p w14:paraId="30411C19" w14:textId="77777777" w:rsidR="00E4151D" w:rsidRDefault="00E4151D">
            <w:pPr>
              <w:spacing w:after="120" w:line="276" w:lineRule="auto"/>
              <w:rPr>
                <w:rFonts w:ascii="Calibri" w:eastAsia="Calibri" w:hAnsi="Calibri" w:cs="Calibri"/>
              </w:rPr>
            </w:pPr>
          </w:p>
        </w:tc>
        <w:tc>
          <w:tcPr>
            <w:tcW w:w="1778" w:type="dxa"/>
            <w:tcBorders>
              <w:top w:val="single" w:sz="4" w:space="0" w:color="C9C9C9"/>
              <w:left w:val="single" w:sz="4" w:space="0" w:color="C9C9C9"/>
              <w:bottom w:val="single" w:sz="4" w:space="0" w:color="C9C9C9"/>
              <w:right w:val="single" w:sz="4" w:space="0" w:color="C9C9C9"/>
            </w:tcBorders>
            <w:shd w:val="clear" w:color="auto" w:fill="F2F2F2"/>
          </w:tcPr>
          <w:p w14:paraId="4CDFC153" w14:textId="77777777" w:rsidR="00E4151D" w:rsidRDefault="00E4151D">
            <w:pPr>
              <w:spacing w:after="120" w:line="276" w:lineRule="auto"/>
              <w:rPr>
                <w:rFonts w:ascii="Calibri" w:eastAsia="Calibri" w:hAnsi="Calibri" w:cs="Calibri"/>
                <w:color w:val="EDEDED"/>
              </w:rPr>
            </w:pPr>
          </w:p>
        </w:tc>
        <w:tc>
          <w:tcPr>
            <w:tcW w:w="2272" w:type="dxa"/>
            <w:tcBorders>
              <w:top w:val="single" w:sz="4" w:space="0" w:color="C9C9C9"/>
              <w:left w:val="single" w:sz="4" w:space="0" w:color="C9C9C9"/>
              <w:bottom w:val="single" w:sz="4" w:space="0" w:color="C9C9C9"/>
              <w:right w:val="single" w:sz="4" w:space="0" w:color="C9C9C9"/>
            </w:tcBorders>
            <w:shd w:val="clear" w:color="auto" w:fill="F2F2F2"/>
          </w:tcPr>
          <w:p w14:paraId="3F08699D" w14:textId="77777777" w:rsidR="00E4151D" w:rsidRDefault="00E4151D">
            <w:pPr>
              <w:spacing w:after="120" w:line="276" w:lineRule="auto"/>
              <w:rPr>
                <w:rFonts w:ascii="Calibri" w:eastAsia="Calibri" w:hAnsi="Calibri" w:cs="Calibri"/>
                <w:color w:val="EDEDED"/>
              </w:rPr>
            </w:pPr>
          </w:p>
        </w:tc>
      </w:tr>
      <w:tr w:rsidR="00E4151D" w14:paraId="651FBC74" w14:textId="77777777" w:rsidTr="00E4151D">
        <w:trPr>
          <w:trHeight w:val="323"/>
        </w:trPr>
        <w:tc>
          <w:tcPr>
            <w:tcW w:w="2808" w:type="dxa"/>
            <w:tcBorders>
              <w:top w:val="single" w:sz="4" w:space="0" w:color="C9C9C9"/>
              <w:left w:val="single" w:sz="4" w:space="0" w:color="C9C9C9"/>
              <w:bottom w:val="single" w:sz="4" w:space="0" w:color="C9C9C9"/>
              <w:right w:val="single" w:sz="4" w:space="0" w:color="C9C9C9"/>
            </w:tcBorders>
          </w:tcPr>
          <w:p w14:paraId="68996A79" w14:textId="77777777" w:rsidR="00E4151D" w:rsidRDefault="00E4151D">
            <w:pPr>
              <w:spacing w:after="120" w:line="276" w:lineRule="auto"/>
              <w:rPr>
                <w:rFonts w:ascii="Calibri" w:eastAsia="Calibri" w:hAnsi="Calibri" w:cs="Calibri"/>
              </w:rPr>
            </w:pPr>
          </w:p>
        </w:tc>
        <w:tc>
          <w:tcPr>
            <w:tcW w:w="3150" w:type="dxa"/>
            <w:tcBorders>
              <w:top w:val="single" w:sz="4" w:space="0" w:color="C9C9C9"/>
              <w:left w:val="single" w:sz="4" w:space="0" w:color="C9C9C9"/>
              <w:bottom w:val="single" w:sz="4" w:space="0" w:color="C9C9C9"/>
              <w:right w:val="single" w:sz="4" w:space="0" w:color="C9C9C9"/>
            </w:tcBorders>
          </w:tcPr>
          <w:p w14:paraId="6096A5A8" w14:textId="77777777" w:rsidR="00E4151D" w:rsidRDefault="00E4151D">
            <w:pPr>
              <w:spacing w:after="120" w:line="276" w:lineRule="auto"/>
              <w:rPr>
                <w:rFonts w:ascii="Calibri" w:eastAsia="Calibri" w:hAnsi="Calibri" w:cs="Calibri"/>
              </w:rPr>
            </w:pPr>
          </w:p>
        </w:tc>
        <w:tc>
          <w:tcPr>
            <w:tcW w:w="1778" w:type="dxa"/>
            <w:tcBorders>
              <w:top w:val="single" w:sz="4" w:space="0" w:color="C9C9C9"/>
              <w:left w:val="single" w:sz="4" w:space="0" w:color="C9C9C9"/>
              <w:bottom w:val="single" w:sz="4" w:space="0" w:color="C9C9C9"/>
              <w:right w:val="single" w:sz="4" w:space="0" w:color="C9C9C9"/>
            </w:tcBorders>
          </w:tcPr>
          <w:p w14:paraId="0E5E07FC" w14:textId="77777777" w:rsidR="00E4151D" w:rsidRDefault="00E4151D">
            <w:pPr>
              <w:spacing w:after="120" w:line="276" w:lineRule="auto"/>
              <w:rPr>
                <w:rFonts w:ascii="Calibri" w:eastAsia="Calibri" w:hAnsi="Calibri" w:cs="Calibri"/>
              </w:rPr>
            </w:pPr>
          </w:p>
        </w:tc>
        <w:tc>
          <w:tcPr>
            <w:tcW w:w="2272" w:type="dxa"/>
            <w:tcBorders>
              <w:top w:val="single" w:sz="4" w:space="0" w:color="C9C9C9"/>
              <w:left w:val="single" w:sz="4" w:space="0" w:color="C9C9C9"/>
              <w:bottom w:val="single" w:sz="4" w:space="0" w:color="C9C9C9"/>
              <w:right w:val="single" w:sz="4" w:space="0" w:color="C9C9C9"/>
            </w:tcBorders>
          </w:tcPr>
          <w:p w14:paraId="4864FBE1" w14:textId="77777777" w:rsidR="00E4151D" w:rsidRDefault="00E4151D">
            <w:pPr>
              <w:spacing w:after="120" w:line="276" w:lineRule="auto"/>
              <w:rPr>
                <w:rFonts w:ascii="Calibri" w:eastAsia="Calibri" w:hAnsi="Calibri" w:cs="Calibri"/>
              </w:rPr>
            </w:pPr>
          </w:p>
        </w:tc>
      </w:tr>
      <w:tr w:rsidR="00E4151D" w14:paraId="37CD8E2B" w14:textId="77777777" w:rsidTr="00E4151D">
        <w:trPr>
          <w:trHeight w:val="304"/>
        </w:trPr>
        <w:tc>
          <w:tcPr>
            <w:tcW w:w="2808" w:type="dxa"/>
            <w:tcBorders>
              <w:top w:val="single" w:sz="4" w:space="0" w:color="C9C9C9"/>
              <w:left w:val="single" w:sz="4" w:space="0" w:color="C9C9C9"/>
              <w:bottom w:val="single" w:sz="4" w:space="0" w:color="C9C9C9"/>
              <w:right w:val="single" w:sz="4" w:space="0" w:color="C9C9C9"/>
            </w:tcBorders>
            <w:shd w:val="clear" w:color="auto" w:fill="EDEDED"/>
          </w:tcPr>
          <w:p w14:paraId="0D8DA68E" w14:textId="77777777" w:rsidR="00E4151D" w:rsidRDefault="00E4151D">
            <w:pPr>
              <w:spacing w:after="120" w:line="276" w:lineRule="auto"/>
              <w:rPr>
                <w:rFonts w:ascii="Calibri" w:eastAsia="Calibri" w:hAnsi="Calibri" w:cs="Calibri"/>
              </w:rPr>
            </w:pPr>
          </w:p>
        </w:tc>
        <w:tc>
          <w:tcPr>
            <w:tcW w:w="3150" w:type="dxa"/>
            <w:tcBorders>
              <w:top w:val="single" w:sz="4" w:space="0" w:color="C9C9C9"/>
              <w:left w:val="single" w:sz="4" w:space="0" w:color="C9C9C9"/>
              <w:bottom w:val="single" w:sz="4" w:space="0" w:color="C9C9C9"/>
              <w:right w:val="single" w:sz="4" w:space="0" w:color="C9C9C9"/>
            </w:tcBorders>
            <w:shd w:val="clear" w:color="auto" w:fill="EDEDED"/>
          </w:tcPr>
          <w:p w14:paraId="0E3B4518" w14:textId="77777777" w:rsidR="00E4151D" w:rsidRDefault="00E4151D">
            <w:pPr>
              <w:spacing w:after="120" w:line="276" w:lineRule="auto"/>
              <w:rPr>
                <w:rFonts w:ascii="Calibri" w:eastAsia="Calibri" w:hAnsi="Calibri" w:cs="Calibri"/>
              </w:rPr>
            </w:pPr>
          </w:p>
        </w:tc>
        <w:tc>
          <w:tcPr>
            <w:tcW w:w="1778" w:type="dxa"/>
            <w:tcBorders>
              <w:top w:val="single" w:sz="4" w:space="0" w:color="C9C9C9"/>
              <w:left w:val="single" w:sz="4" w:space="0" w:color="C9C9C9"/>
              <w:bottom w:val="single" w:sz="4" w:space="0" w:color="C9C9C9"/>
              <w:right w:val="single" w:sz="4" w:space="0" w:color="C9C9C9"/>
            </w:tcBorders>
            <w:shd w:val="clear" w:color="auto" w:fill="EDEDED"/>
          </w:tcPr>
          <w:p w14:paraId="12D66357" w14:textId="77777777" w:rsidR="00E4151D" w:rsidRDefault="00E4151D">
            <w:pPr>
              <w:spacing w:after="120" w:line="276" w:lineRule="auto"/>
              <w:rPr>
                <w:rFonts w:ascii="Calibri" w:eastAsia="Calibri" w:hAnsi="Calibri" w:cs="Calibri"/>
              </w:rPr>
            </w:pPr>
          </w:p>
        </w:tc>
        <w:tc>
          <w:tcPr>
            <w:tcW w:w="2272" w:type="dxa"/>
            <w:tcBorders>
              <w:top w:val="single" w:sz="4" w:space="0" w:color="C9C9C9"/>
              <w:left w:val="single" w:sz="4" w:space="0" w:color="C9C9C9"/>
              <w:bottom w:val="single" w:sz="4" w:space="0" w:color="C9C9C9"/>
              <w:right w:val="single" w:sz="4" w:space="0" w:color="C9C9C9"/>
            </w:tcBorders>
            <w:shd w:val="clear" w:color="auto" w:fill="EDEDED"/>
          </w:tcPr>
          <w:p w14:paraId="45ADCE3B" w14:textId="77777777" w:rsidR="00E4151D" w:rsidRDefault="00E4151D">
            <w:pPr>
              <w:spacing w:after="120" w:line="276" w:lineRule="auto"/>
              <w:rPr>
                <w:rFonts w:ascii="Calibri" w:eastAsia="Calibri" w:hAnsi="Calibri" w:cs="Calibri"/>
              </w:rPr>
            </w:pPr>
          </w:p>
        </w:tc>
      </w:tr>
      <w:tr w:rsidR="00E4151D" w14:paraId="324DA447" w14:textId="77777777" w:rsidTr="00E4151D">
        <w:trPr>
          <w:trHeight w:val="323"/>
        </w:trPr>
        <w:tc>
          <w:tcPr>
            <w:tcW w:w="2808" w:type="dxa"/>
            <w:tcBorders>
              <w:top w:val="single" w:sz="4" w:space="0" w:color="C9C9C9"/>
              <w:left w:val="single" w:sz="4" w:space="0" w:color="C9C9C9"/>
              <w:bottom w:val="single" w:sz="4" w:space="0" w:color="C9C9C9"/>
              <w:right w:val="single" w:sz="4" w:space="0" w:color="C9C9C9"/>
            </w:tcBorders>
          </w:tcPr>
          <w:p w14:paraId="63D3CE34" w14:textId="77777777" w:rsidR="00E4151D" w:rsidRDefault="00E4151D">
            <w:pPr>
              <w:spacing w:after="120" w:line="276" w:lineRule="auto"/>
              <w:rPr>
                <w:rFonts w:ascii="Calibri" w:eastAsia="Calibri" w:hAnsi="Calibri" w:cs="Calibri"/>
                <w:i/>
                <w:iCs/>
              </w:rPr>
            </w:pPr>
          </w:p>
        </w:tc>
        <w:tc>
          <w:tcPr>
            <w:tcW w:w="3150" w:type="dxa"/>
            <w:tcBorders>
              <w:top w:val="single" w:sz="4" w:space="0" w:color="C9C9C9"/>
              <w:left w:val="single" w:sz="4" w:space="0" w:color="C9C9C9"/>
              <w:bottom w:val="single" w:sz="4" w:space="0" w:color="C9C9C9"/>
              <w:right w:val="single" w:sz="4" w:space="0" w:color="C9C9C9"/>
            </w:tcBorders>
          </w:tcPr>
          <w:p w14:paraId="4F9A7EC6" w14:textId="77777777" w:rsidR="00E4151D" w:rsidRDefault="00E4151D">
            <w:pPr>
              <w:spacing w:after="120" w:line="276" w:lineRule="auto"/>
              <w:rPr>
                <w:rFonts w:ascii="Calibri" w:eastAsia="Calibri" w:hAnsi="Calibri" w:cs="Calibri"/>
              </w:rPr>
            </w:pPr>
          </w:p>
        </w:tc>
        <w:tc>
          <w:tcPr>
            <w:tcW w:w="1778" w:type="dxa"/>
            <w:tcBorders>
              <w:top w:val="single" w:sz="4" w:space="0" w:color="C9C9C9"/>
              <w:left w:val="single" w:sz="4" w:space="0" w:color="C9C9C9"/>
              <w:bottom w:val="single" w:sz="4" w:space="0" w:color="C9C9C9"/>
              <w:right w:val="single" w:sz="4" w:space="0" w:color="C9C9C9"/>
            </w:tcBorders>
          </w:tcPr>
          <w:p w14:paraId="74FE629E" w14:textId="77777777" w:rsidR="00E4151D" w:rsidRDefault="00E4151D">
            <w:pPr>
              <w:spacing w:after="120" w:line="276" w:lineRule="auto"/>
              <w:rPr>
                <w:rFonts w:ascii="Calibri" w:eastAsia="Calibri" w:hAnsi="Calibri" w:cs="Calibri"/>
              </w:rPr>
            </w:pPr>
          </w:p>
        </w:tc>
        <w:tc>
          <w:tcPr>
            <w:tcW w:w="2272" w:type="dxa"/>
            <w:tcBorders>
              <w:top w:val="single" w:sz="4" w:space="0" w:color="C9C9C9"/>
              <w:left w:val="single" w:sz="4" w:space="0" w:color="C9C9C9"/>
              <w:bottom w:val="single" w:sz="4" w:space="0" w:color="C9C9C9"/>
              <w:right w:val="single" w:sz="4" w:space="0" w:color="C9C9C9"/>
            </w:tcBorders>
          </w:tcPr>
          <w:p w14:paraId="5E1A4ECB" w14:textId="77777777" w:rsidR="00E4151D" w:rsidRDefault="00E4151D">
            <w:pPr>
              <w:spacing w:after="120" w:line="276" w:lineRule="auto"/>
              <w:rPr>
                <w:rFonts w:ascii="Calibri" w:eastAsia="Calibri" w:hAnsi="Calibri" w:cs="Calibri"/>
              </w:rPr>
            </w:pPr>
          </w:p>
        </w:tc>
      </w:tr>
      <w:tr w:rsidR="00E4151D" w14:paraId="11C17806" w14:textId="77777777" w:rsidTr="00E4151D">
        <w:trPr>
          <w:trHeight w:val="304"/>
        </w:trPr>
        <w:tc>
          <w:tcPr>
            <w:tcW w:w="2808" w:type="dxa"/>
            <w:tcBorders>
              <w:top w:val="single" w:sz="4" w:space="0" w:color="C9C9C9"/>
              <w:left w:val="single" w:sz="4" w:space="0" w:color="C9C9C9"/>
              <w:bottom w:val="single" w:sz="4" w:space="0" w:color="C9C9C9"/>
              <w:right w:val="single" w:sz="4" w:space="0" w:color="C9C9C9"/>
            </w:tcBorders>
            <w:shd w:val="clear" w:color="auto" w:fill="EDEDED"/>
          </w:tcPr>
          <w:p w14:paraId="67A40C29" w14:textId="77777777" w:rsidR="00E4151D" w:rsidRDefault="00E4151D">
            <w:pPr>
              <w:spacing w:after="120" w:line="276" w:lineRule="auto"/>
              <w:rPr>
                <w:rFonts w:ascii="Calibri" w:eastAsia="Calibri" w:hAnsi="Calibri" w:cs="Calibri"/>
                <w:i/>
                <w:iCs/>
              </w:rPr>
            </w:pPr>
          </w:p>
        </w:tc>
        <w:tc>
          <w:tcPr>
            <w:tcW w:w="3150" w:type="dxa"/>
            <w:tcBorders>
              <w:top w:val="single" w:sz="4" w:space="0" w:color="C9C9C9"/>
              <w:left w:val="single" w:sz="4" w:space="0" w:color="C9C9C9"/>
              <w:bottom w:val="single" w:sz="4" w:space="0" w:color="C9C9C9"/>
              <w:right w:val="single" w:sz="4" w:space="0" w:color="C9C9C9"/>
            </w:tcBorders>
            <w:shd w:val="clear" w:color="auto" w:fill="EDEDED"/>
          </w:tcPr>
          <w:p w14:paraId="1B736EF7" w14:textId="77777777" w:rsidR="00E4151D" w:rsidRDefault="00E4151D">
            <w:pPr>
              <w:spacing w:after="120" w:line="276" w:lineRule="auto"/>
              <w:rPr>
                <w:rFonts w:ascii="Calibri" w:eastAsia="Calibri" w:hAnsi="Calibri" w:cs="Calibri"/>
              </w:rPr>
            </w:pPr>
          </w:p>
        </w:tc>
        <w:tc>
          <w:tcPr>
            <w:tcW w:w="1778" w:type="dxa"/>
            <w:tcBorders>
              <w:top w:val="single" w:sz="4" w:space="0" w:color="C9C9C9"/>
              <w:left w:val="single" w:sz="4" w:space="0" w:color="C9C9C9"/>
              <w:bottom w:val="single" w:sz="4" w:space="0" w:color="C9C9C9"/>
              <w:right w:val="single" w:sz="4" w:space="0" w:color="C9C9C9"/>
            </w:tcBorders>
            <w:shd w:val="clear" w:color="auto" w:fill="EDEDED"/>
          </w:tcPr>
          <w:p w14:paraId="3674CD0D" w14:textId="77777777" w:rsidR="00E4151D" w:rsidRDefault="00E4151D">
            <w:pPr>
              <w:spacing w:after="120" w:line="276" w:lineRule="auto"/>
              <w:rPr>
                <w:rFonts w:ascii="Calibri" w:eastAsia="Calibri" w:hAnsi="Calibri" w:cs="Calibri"/>
              </w:rPr>
            </w:pPr>
          </w:p>
        </w:tc>
        <w:tc>
          <w:tcPr>
            <w:tcW w:w="2272" w:type="dxa"/>
            <w:tcBorders>
              <w:top w:val="single" w:sz="4" w:space="0" w:color="C9C9C9"/>
              <w:left w:val="single" w:sz="4" w:space="0" w:color="C9C9C9"/>
              <w:bottom w:val="single" w:sz="4" w:space="0" w:color="C9C9C9"/>
              <w:right w:val="single" w:sz="4" w:space="0" w:color="C9C9C9"/>
            </w:tcBorders>
            <w:shd w:val="clear" w:color="auto" w:fill="EDEDED"/>
          </w:tcPr>
          <w:p w14:paraId="39EB44F7" w14:textId="77777777" w:rsidR="00E4151D" w:rsidRDefault="00E4151D">
            <w:pPr>
              <w:spacing w:after="120" w:line="276" w:lineRule="auto"/>
              <w:rPr>
                <w:rFonts w:ascii="Calibri" w:eastAsia="Calibri" w:hAnsi="Calibri" w:cs="Calibri"/>
              </w:rPr>
            </w:pPr>
          </w:p>
        </w:tc>
      </w:tr>
      <w:tr w:rsidR="00E4151D" w14:paraId="077BD214" w14:textId="77777777" w:rsidTr="00E4151D">
        <w:trPr>
          <w:trHeight w:val="304"/>
        </w:trPr>
        <w:tc>
          <w:tcPr>
            <w:tcW w:w="2808" w:type="dxa"/>
            <w:tcBorders>
              <w:top w:val="single" w:sz="4" w:space="0" w:color="C9C9C9"/>
              <w:left w:val="single" w:sz="4" w:space="0" w:color="C9C9C9"/>
              <w:bottom w:val="single" w:sz="4" w:space="0" w:color="C9C9C9"/>
              <w:right w:val="single" w:sz="4" w:space="0" w:color="C9C9C9"/>
            </w:tcBorders>
          </w:tcPr>
          <w:p w14:paraId="46262BD0" w14:textId="77777777" w:rsidR="00E4151D" w:rsidRDefault="00E4151D">
            <w:pPr>
              <w:spacing w:after="120" w:line="276" w:lineRule="auto"/>
              <w:rPr>
                <w:rFonts w:ascii="Calibri" w:eastAsia="Calibri" w:hAnsi="Calibri" w:cs="Calibri"/>
                <w:i/>
                <w:iCs/>
                <w:sz w:val="22"/>
                <w:szCs w:val="22"/>
              </w:rPr>
            </w:pPr>
          </w:p>
        </w:tc>
        <w:tc>
          <w:tcPr>
            <w:tcW w:w="3150" w:type="dxa"/>
            <w:tcBorders>
              <w:top w:val="single" w:sz="4" w:space="0" w:color="C9C9C9"/>
              <w:left w:val="single" w:sz="4" w:space="0" w:color="C9C9C9"/>
              <w:bottom w:val="single" w:sz="4" w:space="0" w:color="C9C9C9"/>
              <w:right w:val="single" w:sz="4" w:space="0" w:color="C9C9C9"/>
            </w:tcBorders>
          </w:tcPr>
          <w:p w14:paraId="416B95CA" w14:textId="77777777" w:rsidR="00E4151D" w:rsidRDefault="00E4151D">
            <w:pPr>
              <w:spacing w:after="120" w:line="276" w:lineRule="auto"/>
              <w:rPr>
                <w:rFonts w:ascii="Calibri" w:eastAsia="Calibri" w:hAnsi="Calibri" w:cs="Calibri"/>
                <w:sz w:val="22"/>
                <w:szCs w:val="22"/>
              </w:rPr>
            </w:pPr>
          </w:p>
        </w:tc>
        <w:tc>
          <w:tcPr>
            <w:tcW w:w="1778" w:type="dxa"/>
            <w:tcBorders>
              <w:top w:val="single" w:sz="4" w:space="0" w:color="C9C9C9"/>
              <w:left w:val="single" w:sz="4" w:space="0" w:color="C9C9C9"/>
              <w:bottom w:val="single" w:sz="4" w:space="0" w:color="C9C9C9"/>
              <w:right w:val="single" w:sz="4" w:space="0" w:color="C9C9C9"/>
            </w:tcBorders>
          </w:tcPr>
          <w:p w14:paraId="575E4E4F" w14:textId="77777777" w:rsidR="00E4151D" w:rsidRDefault="00E4151D">
            <w:pPr>
              <w:spacing w:after="120" w:line="276" w:lineRule="auto"/>
              <w:rPr>
                <w:rFonts w:ascii="Calibri" w:eastAsia="Calibri" w:hAnsi="Calibri" w:cs="Calibri"/>
                <w:sz w:val="22"/>
                <w:szCs w:val="22"/>
              </w:rPr>
            </w:pPr>
          </w:p>
        </w:tc>
        <w:tc>
          <w:tcPr>
            <w:tcW w:w="2272" w:type="dxa"/>
            <w:tcBorders>
              <w:top w:val="single" w:sz="4" w:space="0" w:color="C9C9C9"/>
              <w:left w:val="single" w:sz="4" w:space="0" w:color="C9C9C9"/>
              <w:bottom w:val="single" w:sz="4" w:space="0" w:color="C9C9C9"/>
              <w:right w:val="single" w:sz="4" w:space="0" w:color="C9C9C9"/>
            </w:tcBorders>
          </w:tcPr>
          <w:p w14:paraId="57EF0411" w14:textId="77777777" w:rsidR="00E4151D" w:rsidRDefault="00E4151D">
            <w:pPr>
              <w:spacing w:after="120" w:line="276" w:lineRule="auto"/>
              <w:rPr>
                <w:rFonts w:ascii="Calibri" w:eastAsia="Calibri" w:hAnsi="Calibri" w:cs="Calibri"/>
                <w:sz w:val="22"/>
                <w:szCs w:val="22"/>
              </w:rPr>
            </w:pPr>
          </w:p>
        </w:tc>
      </w:tr>
      <w:tr w:rsidR="00E4151D" w14:paraId="7780069F" w14:textId="77777777" w:rsidTr="00E4151D">
        <w:trPr>
          <w:trHeight w:val="304"/>
        </w:trPr>
        <w:tc>
          <w:tcPr>
            <w:tcW w:w="2808" w:type="dxa"/>
            <w:tcBorders>
              <w:top w:val="single" w:sz="4" w:space="0" w:color="C9C9C9"/>
              <w:left w:val="single" w:sz="4" w:space="0" w:color="C9C9C9"/>
              <w:bottom w:val="single" w:sz="4" w:space="0" w:color="C9C9C9"/>
              <w:right w:val="single" w:sz="4" w:space="0" w:color="C9C9C9"/>
            </w:tcBorders>
            <w:shd w:val="clear" w:color="auto" w:fill="EDEDED"/>
          </w:tcPr>
          <w:p w14:paraId="3436EAD6" w14:textId="77777777" w:rsidR="00E4151D" w:rsidRDefault="00E4151D">
            <w:pPr>
              <w:spacing w:after="120" w:line="276" w:lineRule="auto"/>
              <w:ind w:left="2160" w:hanging="2160"/>
              <w:rPr>
                <w:rFonts w:ascii="Calibri" w:eastAsia="Calibri" w:hAnsi="Calibri" w:cs="Calibri"/>
                <w:i/>
                <w:iCs/>
                <w:sz w:val="22"/>
                <w:szCs w:val="22"/>
              </w:rPr>
            </w:pPr>
          </w:p>
        </w:tc>
        <w:tc>
          <w:tcPr>
            <w:tcW w:w="3150" w:type="dxa"/>
            <w:tcBorders>
              <w:top w:val="single" w:sz="4" w:space="0" w:color="C9C9C9"/>
              <w:left w:val="single" w:sz="4" w:space="0" w:color="C9C9C9"/>
              <w:bottom w:val="single" w:sz="4" w:space="0" w:color="C9C9C9"/>
              <w:right w:val="single" w:sz="4" w:space="0" w:color="C9C9C9"/>
            </w:tcBorders>
            <w:shd w:val="clear" w:color="auto" w:fill="EDEDED"/>
          </w:tcPr>
          <w:p w14:paraId="39DBD59B" w14:textId="77777777" w:rsidR="00E4151D" w:rsidRDefault="00E4151D">
            <w:pPr>
              <w:spacing w:after="120" w:line="276" w:lineRule="auto"/>
              <w:ind w:left="2160" w:hanging="2160"/>
              <w:rPr>
                <w:rFonts w:ascii="Calibri" w:eastAsia="Calibri" w:hAnsi="Calibri" w:cs="Calibri"/>
                <w:sz w:val="22"/>
                <w:szCs w:val="22"/>
              </w:rPr>
            </w:pPr>
          </w:p>
        </w:tc>
        <w:tc>
          <w:tcPr>
            <w:tcW w:w="1778" w:type="dxa"/>
            <w:tcBorders>
              <w:top w:val="single" w:sz="4" w:space="0" w:color="C9C9C9"/>
              <w:left w:val="single" w:sz="4" w:space="0" w:color="C9C9C9"/>
              <w:bottom w:val="single" w:sz="4" w:space="0" w:color="C9C9C9"/>
              <w:right w:val="single" w:sz="4" w:space="0" w:color="C9C9C9"/>
            </w:tcBorders>
            <w:shd w:val="clear" w:color="auto" w:fill="EDEDED"/>
          </w:tcPr>
          <w:p w14:paraId="419E682F" w14:textId="77777777" w:rsidR="00E4151D" w:rsidRDefault="00E4151D">
            <w:pPr>
              <w:spacing w:after="120" w:line="276" w:lineRule="auto"/>
              <w:ind w:left="2160" w:hanging="2160"/>
              <w:rPr>
                <w:rFonts w:ascii="Calibri" w:eastAsia="Calibri" w:hAnsi="Calibri" w:cs="Calibri"/>
                <w:sz w:val="22"/>
                <w:szCs w:val="22"/>
              </w:rPr>
            </w:pPr>
          </w:p>
        </w:tc>
        <w:tc>
          <w:tcPr>
            <w:tcW w:w="2272" w:type="dxa"/>
            <w:tcBorders>
              <w:top w:val="single" w:sz="4" w:space="0" w:color="C9C9C9"/>
              <w:left w:val="single" w:sz="4" w:space="0" w:color="C9C9C9"/>
              <w:bottom w:val="single" w:sz="4" w:space="0" w:color="C9C9C9"/>
              <w:right w:val="single" w:sz="4" w:space="0" w:color="C9C9C9"/>
            </w:tcBorders>
            <w:shd w:val="clear" w:color="auto" w:fill="EDEDED"/>
          </w:tcPr>
          <w:p w14:paraId="750FBAD9" w14:textId="77777777" w:rsidR="00E4151D" w:rsidRDefault="00E4151D">
            <w:pPr>
              <w:spacing w:after="120" w:line="276" w:lineRule="auto"/>
              <w:ind w:left="2160" w:hanging="2160"/>
              <w:rPr>
                <w:rFonts w:ascii="Calibri" w:eastAsia="Calibri" w:hAnsi="Calibri" w:cs="Calibri"/>
                <w:sz w:val="22"/>
                <w:szCs w:val="22"/>
              </w:rPr>
            </w:pPr>
          </w:p>
        </w:tc>
      </w:tr>
      <w:tr w:rsidR="00E4151D" w14:paraId="14CAF808" w14:textId="77777777" w:rsidTr="00E4151D">
        <w:trPr>
          <w:trHeight w:val="304"/>
        </w:trPr>
        <w:tc>
          <w:tcPr>
            <w:tcW w:w="2808" w:type="dxa"/>
            <w:tcBorders>
              <w:top w:val="single" w:sz="4" w:space="0" w:color="C9C9C9"/>
              <w:left w:val="single" w:sz="4" w:space="0" w:color="C9C9C9"/>
              <w:bottom w:val="single" w:sz="4" w:space="0" w:color="C9C9C9"/>
              <w:right w:val="single" w:sz="4" w:space="0" w:color="C9C9C9"/>
            </w:tcBorders>
          </w:tcPr>
          <w:p w14:paraId="058B0245" w14:textId="77777777" w:rsidR="00E4151D" w:rsidRDefault="00E4151D">
            <w:pPr>
              <w:spacing w:after="120" w:line="276" w:lineRule="auto"/>
              <w:rPr>
                <w:rFonts w:ascii="Calibri" w:eastAsia="Calibri" w:hAnsi="Calibri" w:cs="Calibri"/>
                <w:i/>
                <w:iCs/>
                <w:sz w:val="22"/>
                <w:szCs w:val="22"/>
              </w:rPr>
            </w:pPr>
          </w:p>
        </w:tc>
        <w:tc>
          <w:tcPr>
            <w:tcW w:w="3150" w:type="dxa"/>
            <w:tcBorders>
              <w:top w:val="single" w:sz="4" w:space="0" w:color="C9C9C9"/>
              <w:left w:val="single" w:sz="4" w:space="0" w:color="C9C9C9"/>
              <w:bottom w:val="single" w:sz="4" w:space="0" w:color="C9C9C9"/>
              <w:right w:val="single" w:sz="4" w:space="0" w:color="C9C9C9"/>
            </w:tcBorders>
          </w:tcPr>
          <w:p w14:paraId="40E2B1F6" w14:textId="77777777" w:rsidR="00E4151D" w:rsidRDefault="00E4151D">
            <w:pPr>
              <w:spacing w:after="120" w:line="276" w:lineRule="auto"/>
              <w:rPr>
                <w:rFonts w:ascii="Calibri" w:eastAsia="Calibri" w:hAnsi="Calibri" w:cs="Calibri"/>
                <w:sz w:val="22"/>
                <w:szCs w:val="22"/>
              </w:rPr>
            </w:pPr>
          </w:p>
        </w:tc>
        <w:tc>
          <w:tcPr>
            <w:tcW w:w="1778" w:type="dxa"/>
            <w:tcBorders>
              <w:top w:val="single" w:sz="4" w:space="0" w:color="C9C9C9"/>
              <w:left w:val="single" w:sz="4" w:space="0" w:color="C9C9C9"/>
              <w:bottom w:val="single" w:sz="4" w:space="0" w:color="C9C9C9"/>
              <w:right w:val="single" w:sz="4" w:space="0" w:color="C9C9C9"/>
            </w:tcBorders>
          </w:tcPr>
          <w:p w14:paraId="53D1FA3D" w14:textId="77777777" w:rsidR="00E4151D" w:rsidRDefault="00E4151D">
            <w:pPr>
              <w:spacing w:after="120" w:line="276" w:lineRule="auto"/>
              <w:rPr>
                <w:rFonts w:ascii="Calibri" w:eastAsia="Calibri" w:hAnsi="Calibri" w:cs="Calibri"/>
                <w:sz w:val="22"/>
                <w:szCs w:val="22"/>
              </w:rPr>
            </w:pPr>
          </w:p>
        </w:tc>
        <w:tc>
          <w:tcPr>
            <w:tcW w:w="2272" w:type="dxa"/>
            <w:tcBorders>
              <w:top w:val="single" w:sz="4" w:space="0" w:color="C9C9C9"/>
              <w:left w:val="single" w:sz="4" w:space="0" w:color="C9C9C9"/>
              <w:bottom w:val="single" w:sz="4" w:space="0" w:color="C9C9C9"/>
              <w:right w:val="single" w:sz="4" w:space="0" w:color="C9C9C9"/>
            </w:tcBorders>
          </w:tcPr>
          <w:p w14:paraId="3979E820" w14:textId="77777777" w:rsidR="00E4151D" w:rsidRDefault="00E4151D">
            <w:pPr>
              <w:spacing w:after="120" w:line="276" w:lineRule="auto"/>
              <w:rPr>
                <w:rFonts w:ascii="Calibri" w:eastAsia="Calibri" w:hAnsi="Calibri" w:cs="Calibri"/>
                <w:sz w:val="22"/>
                <w:szCs w:val="22"/>
              </w:rPr>
            </w:pPr>
          </w:p>
        </w:tc>
      </w:tr>
      <w:tr w:rsidR="00841071" w14:paraId="42FD7AFE" w14:textId="77777777" w:rsidTr="00841071">
        <w:trPr>
          <w:trHeight w:val="304"/>
        </w:trPr>
        <w:tc>
          <w:tcPr>
            <w:tcW w:w="2808" w:type="dxa"/>
            <w:tcBorders>
              <w:top w:val="single" w:sz="4" w:space="0" w:color="C9C9C9"/>
              <w:left w:val="single" w:sz="4" w:space="0" w:color="C9C9C9"/>
              <w:bottom w:val="single" w:sz="4" w:space="0" w:color="C9C9C9"/>
              <w:right w:val="single" w:sz="4" w:space="0" w:color="C9C9C9"/>
            </w:tcBorders>
            <w:shd w:val="clear" w:color="auto" w:fill="F2F2F2" w:themeFill="background1" w:themeFillShade="F2"/>
          </w:tcPr>
          <w:p w14:paraId="60B98BE3" w14:textId="77777777" w:rsidR="00841071" w:rsidRDefault="00841071">
            <w:pPr>
              <w:spacing w:after="120" w:line="276" w:lineRule="auto"/>
              <w:rPr>
                <w:rFonts w:ascii="Calibri" w:eastAsia="Calibri" w:hAnsi="Calibri" w:cs="Calibri"/>
                <w:i/>
                <w:iCs/>
                <w:sz w:val="22"/>
                <w:szCs w:val="22"/>
              </w:rPr>
            </w:pPr>
          </w:p>
        </w:tc>
        <w:tc>
          <w:tcPr>
            <w:tcW w:w="3150" w:type="dxa"/>
            <w:tcBorders>
              <w:top w:val="single" w:sz="4" w:space="0" w:color="C9C9C9"/>
              <w:left w:val="single" w:sz="4" w:space="0" w:color="C9C9C9"/>
              <w:bottom w:val="single" w:sz="4" w:space="0" w:color="C9C9C9"/>
              <w:right w:val="single" w:sz="4" w:space="0" w:color="C9C9C9"/>
            </w:tcBorders>
            <w:shd w:val="clear" w:color="auto" w:fill="F2F2F2" w:themeFill="background1" w:themeFillShade="F2"/>
          </w:tcPr>
          <w:p w14:paraId="49387F9F" w14:textId="77777777" w:rsidR="00841071" w:rsidRDefault="00841071">
            <w:pPr>
              <w:spacing w:after="120" w:line="276" w:lineRule="auto"/>
              <w:rPr>
                <w:rFonts w:ascii="Calibri" w:eastAsia="Calibri" w:hAnsi="Calibri" w:cs="Calibri"/>
                <w:sz w:val="22"/>
                <w:szCs w:val="22"/>
              </w:rPr>
            </w:pPr>
          </w:p>
        </w:tc>
        <w:tc>
          <w:tcPr>
            <w:tcW w:w="1778" w:type="dxa"/>
            <w:tcBorders>
              <w:top w:val="single" w:sz="4" w:space="0" w:color="C9C9C9"/>
              <w:left w:val="single" w:sz="4" w:space="0" w:color="C9C9C9"/>
              <w:bottom w:val="single" w:sz="4" w:space="0" w:color="C9C9C9"/>
              <w:right w:val="single" w:sz="4" w:space="0" w:color="C9C9C9"/>
            </w:tcBorders>
            <w:shd w:val="clear" w:color="auto" w:fill="F2F2F2" w:themeFill="background1" w:themeFillShade="F2"/>
          </w:tcPr>
          <w:p w14:paraId="1784CFC8" w14:textId="77777777" w:rsidR="00841071" w:rsidRDefault="00841071">
            <w:pPr>
              <w:spacing w:after="120" w:line="276" w:lineRule="auto"/>
              <w:rPr>
                <w:rFonts w:ascii="Calibri" w:eastAsia="Calibri" w:hAnsi="Calibri" w:cs="Calibri"/>
                <w:sz w:val="22"/>
                <w:szCs w:val="22"/>
              </w:rPr>
            </w:pPr>
          </w:p>
        </w:tc>
        <w:tc>
          <w:tcPr>
            <w:tcW w:w="2272" w:type="dxa"/>
            <w:tcBorders>
              <w:top w:val="single" w:sz="4" w:space="0" w:color="C9C9C9"/>
              <w:left w:val="single" w:sz="4" w:space="0" w:color="C9C9C9"/>
              <w:bottom w:val="single" w:sz="4" w:space="0" w:color="C9C9C9"/>
              <w:right w:val="single" w:sz="4" w:space="0" w:color="C9C9C9"/>
            </w:tcBorders>
            <w:shd w:val="clear" w:color="auto" w:fill="F2F2F2" w:themeFill="background1" w:themeFillShade="F2"/>
          </w:tcPr>
          <w:p w14:paraId="5D23D70A" w14:textId="77777777" w:rsidR="00841071" w:rsidRDefault="00841071">
            <w:pPr>
              <w:spacing w:after="120" w:line="276" w:lineRule="auto"/>
              <w:rPr>
                <w:rFonts w:ascii="Calibri" w:eastAsia="Calibri" w:hAnsi="Calibri" w:cs="Calibri"/>
                <w:sz w:val="22"/>
                <w:szCs w:val="22"/>
              </w:rPr>
            </w:pPr>
          </w:p>
        </w:tc>
      </w:tr>
      <w:bookmarkEnd w:id="1"/>
    </w:tbl>
    <w:p w14:paraId="44C974B8" w14:textId="77777777" w:rsidR="00E4151D" w:rsidRDefault="00E4151D" w:rsidP="00E4151D">
      <w:pPr>
        <w:spacing w:after="120" w:line="276" w:lineRule="auto"/>
        <w:rPr>
          <w:rFonts w:ascii="Calibri" w:hAnsi="Calibri" w:cs="Calibri"/>
        </w:rPr>
      </w:pPr>
    </w:p>
    <w:sectPr w:rsidR="00E415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3503"/>
    <w:multiLevelType w:val="hybridMultilevel"/>
    <w:tmpl w:val="E186639A"/>
    <w:lvl w:ilvl="0" w:tplc="902C7150">
      <w:start w:val="1"/>
      <w:numFmt w:val="lowerRoman"/>
      <w:lvlText w:val="%1."/>
      <w:lvlJc w:val="right"/>
      <w:pPr>
        <w:ind w:left="1800" w:hanging="360"/>
      </w:pPr>
      <w:rPr>
        <w:rFonts w:ascii="Calibri" w:eastAsia="Times New Roman" w:hAnsi="Calibri" w:cs="Calibri"/>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1797444"/>
    <w:multiLevelType w:val="hybridMultilevel"/>
    <w:tmpl w:val="9668BA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A2165D"/>
    <w:multiLevelType w:val="hybridMultilevel"/>
    <w:tmpl w:val="91F6EE58"/>
    <w:lvl w:ilvl="0" w:tplc="ABE4D580">
      <w:start w:val="1"/>
      <w:numFmt w:val="upperLetter"/>
      <w:lvlText w:val="%1."/>
      <w:lvlJc w:val="left"/>
      <w:pPr>
        <w:ind w:left="109" w:hanging="256"/>
      </w:pPr>
      <w:rPr>
        <w:rFonts w:ascii="Times New Roman" w:eastAsia="Times New Roman" w:hAnsi="Times New Roman" w:cs="Times New Roman" w:hint="default"/>
        <w:w w:val="99"/>
        <w:sz w:val="20"/>
        <w:szCs w:val="20"/>
      </w:rPr>
    </w:lvl>
    <w:lvl w:ilvl="1" w:tplc="2F52DB6C">
      <w:start w:val="1"/>
      <w:numFmt w:val="decimal"/>
      <w:lvlText w:val="%2."/>
      <w:lvlJc w:val="left"/>
      <w:pPr>
        <w:ind w:left="727" w:hanging="200"/>
      </w:pPr>
      <w:rPr>
        <w:rFonts w:ascii="Calibri" w:eastAsia="Times New Roman" w:hAnsi="Calibri" w:cs="Times New Roman" w:hint="default"/>
        <w:w w:val="70"/>
        <w:sz w:val="22"/>
        <w:szCs w:val="20"/>
      </w:rPr>
    </w:lvl>
    <w:lvl w:ilvl="2" w:tplc="29D8CACA">
      <w:start w:val="1"/>
      <w:numFmt w:val="bullet"/>
      <w:lvlText w:val="•"/>
      <w:lvlJc w:val="left"/>
      <w:pPr>
        <w:ind w:left="1626" w:hanging="200"/>
      </w:pPr>
    </w:lvl>
    <w:lvl w:ilvl="3" w:tplc="4516ACCA">
      <w:start w:val="1"/>
      <w:numFmt w:val="bullet"/>
      <w:lvlText w:val="•"/>
      <w:lvlJc w:val="left"/>
      <w:pPr>
        <w:ind w:left="2525" w:hanging="200"/>
      </w:pPr>
    </w:lvl>
    <w:lvl w:ilvl="4" w:tplc="2FF07D38">
      <w:start w:val="1"/>
      <w:numFmt w:val="bullet"/>
      <w:lvlText w:val="•"/>
      <w:lvlJc w:val="left"/>
      <w:pPr>
        <w:ind w:left="3424" w:hanging="200"/>
      </w:pPr>
    </w:lvl>
    <w:lvl w:ilvl="5" w:tplc="55EA5F5C">
      <w:start w:val="1"/>
      <w:numFmt w:val="bullet"/>
      <w:lvlText w:val="•"/>
      <w:lvlJc w:val="left"/>
      <w:pPr>
        <w:ind w:left="4323" w:hanging="200"/>
      </w:pPr>
    </w:lvl>
    <w:lvl w:ilvl="6" w:tplc="A050C2B0">
      <w:start w:val="1"/>
      <w:numFmt w:val="bullet"/>
      <w:lvlText w:val="•"/>
      <w:lvlJc w:val="left"/>
      <w:pPr>
        <w:ind w:left="5223" w:hanging="200"/>
      </w:pPr>
    </w:lvl>
    <w:lvl w:ilvl="7" w:tplc="709CAEE4">
      <w:start w:val="1"/>
      <w:numFmt w:val="bullet"/>
      <w:lvlText w:val="•"/>
      <w:lvlJc w:val="left"/>
      <w:pPr>
        <w:ind w:left="6122" w:hanging="200"/>
      </w:pPr>
    </w:lvl>
    <w:lvl w:ilvl="8" w:tplc="FFD64416">
      <w:start w:val="1"/>
      <w:numFmt w:val="bullet"/>
      <w:lvlText w:val="•"/>
      <w:lvlJc w:val="left"/>
      <w:pPr>
        <w:ind w:left="7021" w:hanging="200"/>
      </w:pPr>
    </w:lvl>
  </w:abstractNum>
  <w:abstractNum w:abstractNumId="3" w15:restartNumberingAfterBreak="0">
    <w:nsid w:val="14355D17"/>
    <w:multiLevelType w:val="hybridMultilevel"/>
    <w:tmpl w:val="85128D54"/>
    <w:lvl w:ilvl="0" w:tplc="A9BAE3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3C2CB9"/>
    <w:multiLevelType w:val="hybridMultilevel"/>
    <w:tmpl w:val="83EC865C"/>
    <w:lvl w:ilvl="0" w:tplc="0409000F">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616D1"/>
    <w:multiLevelType w:val="hybridMultilevel"/>
    <w:tmpl w:val="AD54EB70"/>
    <w:lvl w:ilvl="0" w:tplc="C310B7B2">
      <w:start w:val="10"/>
      <w:numFmt w:val="lowerLetter"/>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800585"/>
    <w:multiLevelType w:val="hybridMultilevel"/>
    <w:tmpl w:val="F84E751E"/>
    <w:lvl w:ilvl="0" w:tplc="A40CF9A0">
      <w:start w:val="1"/>
      <w:numFmt w:val="lowerLetter"/>
      <w:lvlText w:val="%1."/>
      <w:lvlJc w:val="left"/>
      <w:pPr>
        <w:ind w:left="840" w:hanging="360"/>
      </w:pPr>
      <w:rPr>
        <w:rFonts w:ascii="Calibri" w:eastAsia="Calibri" w:hAnsi="Calibri" w:cs="Calibri" w:hint="default"/>
        <w:b w:val="0"/>
        <w:bCs w:val="0"/>
        <w:i w:val="0"/>
        <w:iCs w:val="0"/>
        <w:spacing w:val="0"/>
        <w:w w:val="100"/>
        <w:sz w:val="24"/>
        <w:szCs w:val="24"/>
        <w:lang w:val="en-US" w:eastAsia="en-US" w:bidi="ar-SA"/>
      </w:rPr>
    </w:lvl>
    <w:lvl w:ilvl="1" w:tplc="060C43BC">
      <w:numFmt w:val="bullet"/>
      <w:lvlText w:val="•"/>
      <w:lvlJc w:val="left"/>
      <w:pPr>
        <w:ind w:left="1708" w:hanging="360"/>
      </w:pPr>
      <w:rPr>
        <w:lang w:val="en-US" w:eastAsia="en-US" w:bidi="ar-SA"/>
      </w:rPr>
    </w:lvl>
    <w:lvl w:ilvl="2" w:tplc="FFF04304">
      <w:numFmt w:val="bullet"/>
      <w:lvlText w:val="•"/>
      <w:lvlJc w:val="left"/>
      <w:pPr>
        <w:ind w:left="2576" w:hanging="360"/>
      </w:pPr>
      <w:rPr>
        <w:lang w:val="en-US" w:eastAsia="en-US" w:bidi="ar-SA"/>
      </w:rPr>
    </w:lvl>
    <w:lvl w:ilvl="3" w:tplc="854E8CFC">
      <w:numFmt w:val="bullet"/>
      <w:lvlText w:val="•"/>
      <w:lvlJc w:val="left"/>
      <w:pPr>
        <w:ind w:left="3444" w:hanging="360"/>
      </w:pPr>
      <w:rPr>
        <w:lang w:val="en-US" w:eastAsia="en-US" w:bidi="ar-SA"/>
      </w:rPr>
    </w:lvl>
    <w:lvl w:ilvl="4" w:tplc="1458B7C8">
      <w:numFmt w:val="bullet"/>
      <w:lvlText w:val="•"/>
      <w:lvlJc w:val="left"/>
      <w:pPr>
        <w:ind w:left="4312" w:hanging="360"/>
      </w:pPr>
      <w:rPr>
        <w:lang w:val="en-US" w:eastAsia="en-US" w:bidi="ar-SA"/>
      </w:rPr>
    </w:lvl>
    <w:lvl w:ilvl="5" w:tplc="F20418BA">
      <w:numFmt w:val="bullet"/>
      <w:lvlText w:val="•"/>
      <w:lvlJc w:val="left"/>
      <w:pPr>
        <w:ind w:left="5180" w:hanging="360"/>
      </w:pPr>
      <w:rPr>
        <w:lang w:val="en-US" w:eastAsia="en-US" w:bidi="ar-SA"/>
      </w:rPr>
    </w:lvl>
    <w:lvl w:ilvl="6" w:tplc="E02C8DC4">
      <w:numFmt w:val="bullet"/>
      <w:lvlText w:val="•"/>
      <w:lvlJc w:val="left"/>
      <w:pPr>
        <w:ind w:left="6048" w:hanging="360"/>
      </w:pPr>
      <w:rPr>
        <w:lang w:val="en-US" w:eastAsia="en-US" w:bidi="ar-SA"/>
      </w:rPr>
    </w:lvl>
    <w:lvl w:ilvl="7" w:tplc="324E47FE">
      <w:numFmt w:val="bullet"/>
      <w:lvlText w:val="•"/>
      <w:lvlJc w:val="left"/>
      <w:pPr>
        <w:ind w:left="6916" w:hanging="360"/>
      </w:pPr>
      <w:rPr>
        <w:lang w:val="en-US" w:eastAsia="en-US" w:bidi="ar-SA"/>
      </w:rPr>
    </w:lvl>
    <w:lvl w:ilvl="8" w:tplc="67861576">
      <w:numFmt w:val="bullet"/>
      <w:lvlText w:val="•"/>
      <w:lvlJc w:val="left"/>
      <w:pPr>
        <w:ind w:left="7784" w:hanging="360"/>
      </w:pPr>
      <w:rPr>
        <w:lang w:val="en-US" w:eastAsia="en-US" w:bidi="ar-SA"/>
      </w:rPr>
    </w:lvl>
  </w:abstractNum>
  <w:abstractNum w:abstractNumId="7" w15:restartNumberingAfterBreak="0">
    <w:nsid w:val="52CF13DD"/>
    <w:multiLevelType w:val="hybridMultilevel"/>
    <w:tmpl w:val="523C4C0E"/>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E91472"/>
    <w:multiLevelType w:val="hybridMultilevel"/>
    <w:tmpl w:val="94F283EC"/>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start w:val="1"/>
      <w:numFmt w:val="upp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9B7A76"/>
    <w:multiLevelType w:val="hybridMultilevel"/>
    <w:tmpl w:val="ADD2D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0"/>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7E1"/>
    <w:rsid w:val="000043A1"/>
    <w:rsid w:val="000D5563"/>
    <w:rsid w:val="001C24A3"/>
    <w:rsid w:val="001D66E3"/>
    <w:rsid w:val="001F732E"/>
    <w:rsid w:val="00342CF1"/>
    <w:rsid w:val="00417872"/>
    <w:rsid w:val="004C0EA9"/>
    <w:rsid w:val="004C1A35"/>
    <w:rsid w:val="005A27B6"/>
    <w:rsid w:val="005A5259"/>
    <w:rsid w:val="005B745E"/>
    <w:rsid w:val="00600BC0"/>
    <w:rsid w:val="0064574B"/>
    <w:rsid w:val="00652670"/>
    <w:rsid w:val="00654D83"/>
    <w:rsid w:val="006973AD"/>
    <w:rsid w:val="007375A1"/>
    <w:rsid w:val="007567E1"/>
    <w:rsid w:val="00827ECA"/>
    <w:rsid w:val="00841071"/>
    <w:rsid w:val="008A0F91"/>
    <w:rsid w:val="0099502D"/>
    <w:rsid w:val="009A454D"/>
    <w:rsid w:val="009C6F8F"/>
    <w:rsid w:val="009D2D36"/>
    <w:rsid w:val="009E79FE"/>
    <w:rsid w:val="00A27A70"/>
    <w:rsid w:val="00A46610"/>
    <w:rsid w:val="00A72642"/>
    <w:rsid w:val="00AC12A0"/>
    <w:rsid w:val="00AC3FA8"/>
    <w:rsid w:val="00AC662B"/>
    <w:rsid w:val="00AD60B9"/>
    <w:rsid w:val="00B058AB"/>
    <w:rsid w:val="00B46D1D"/>
    <w:rsid w:val="00BE0FCC"/>
    <w:rsid w:val="00C00179"/>
    <w:rsid w:val="00C329AF"/>
    <w:rsid w:val="00C93E7B"/>
    <w:rsid w:val="00CD4BD4"/>
    <w:rsid w:val="00CF3D96"/>
    <w:rsid w:val="00DD6A0D"/>
    <w:rsid w:val="00DE7446"/>
    <w:rsid w:val="00DF0B16"/>
    <w:rsid w:val="00DF4954"/>
    <w:rsid w:val="00E4151D"/>
    <w:rsid w:val="00E70FAD"/>
    <w:rsid w:val="00E74CE1"/>
    <w:rsid w:val="00EF7933"/>
    <w:rsid w:val="00F84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74790"/>
  <w15:chartTrackingRefBased/>
  <w15:docId w15:val="{43E15ADC-98C1-4639-9DE7-85F770DC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7E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D2D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1"/>
    <w:qFormat/>
    <w:rsid w:val="007567E1"/>
    <w:pPr>
      <w:keepNext/>
      <w:tabs>
        <w:tab w:val="left" w:pos="8855"/>
      </w:tabs>
      <w:ind w:left="-120"/>
      <w:jc w:val="center"/>
      <w:outlineLvl w:val="1"/>
    </w:pPr>
    <w:rPr>
      <w:rFonts w:ascii="Tahoma" w:hAnsi="Tahoma" w:cs="Tahoma"/>
      <w:b/>
      <w:smallCaps/>
      <w:sz w:val="36"/>
      <w:szCs w:val="36"/>
    </w:rPr>
  </w:style>
  <w:style w:type="paragraph" w:styleId="Heading6">
    <w:name w:val="heading 6"/>
    <w:basedOn w:val="Normal"/>
    <w:next w:val="Normal"/>
    <w:link w:val="Heading6Char"/>
    <w:uiPriority w:val="1"/>
    <w:qFormat/>
    <w:rsid w:val="007567E1"/>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360" w:lineRule="atLeast"/>
      <w:jc w:val="center"/>
      <w:outlineLvl w:val="5"/>
    </w:pPr>
    <w:rPr>
      <w:rFonts w:ascii="Tahoma" w:hAnsi="Tahoma" w:cs="Tahoma"/>
      <w:b/>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567E1"/>
    <w:rPr>
      <w:rFonts w:ascii="Tahoma" w:eastAsia="Times New Roman" w:hAnsi="Tahoma" w:cs="Tahoma"/>
      <w:b/>
      <w:smallCaps/>
      <w:sz w:val="36"/>
      <w:szCs w:val="36"/>
    </w:rPr>
  </w:style>
  <w:style w:type="character" w:customStyle="1" w:styleId="Heading6Char">
    <w:name w:val="Heading 6 Char"/>
    <w:basedOn w:val="DefaultParagraphFont"/>
    <w:link w:val="Heading6"/>
    <w:uiPriority w:val="1"/>
    <w:rsid w:val="007567E1"/>
    <w:rPr>
      <w:rFonts w:ascii="Tahoma" w:eastAsia="Times New Roman" w:hAnsi="Tahoma" w:cs="Tahoma"/>
      <w:b/>
      <w:sz w:val="24"/>
      <w:szCs w:val="35"/>
    </w:rPr>
  </w:style>
  <w:style w:type="character" w:styleId="Hyperlink">
    <w:name w:val="Hyperlink"/>
    <w:basedOn w:val="DefaultParagraphFont"/>
    <w:uiPriority w:val="99"/>
    <w:unhideWhenUsed/>
    <w:rsid w:val="008A0F91"/>
    <w:rPr>
      <w:color w:val="0563C1" w:themeColor="hyperlink"/>
      <w:u w:val="single"/>
    </w:rPr>
  </w:style>
  <w:style w:type="paragraph" w:styleId="Title">
    <w:name w:val="Title"/>
    <w:basedOn w:val="Normal"/>
    <w:link w:val="TitleChar"/>
    <w:uiPriority w:val="10"/>
    <w:qFormat/>
    <w:rsid w:val="008A0F91"/>
    <w:pPr>
      <w:widowControl w:val="0"/>
      <w:autoSpaceDE w:val="0"/>
      <w:autoSpaceDN w:val="0"/>
      <w:spacing w:before="30"/>
      <w:ind w:left="120" w:right="17"/>
    </w:pPr>
    <w:rPr>
      <w:rFonts w:ascii="Calibri" w:eastAsia="Calibri" w:hAnsi="Calibri" w:cs="Calibri"/>
      <w:b/>
      <w:bCs/>
    </w:rPr>
  </w:style>
  <w:style w:type="character" w:customStyle="1" w:styleId="TitleChar">
    <w:name w:val="Title Char"/>
    <w:basedOn w:val="DefaultParagraphFont"/>
    <w:link w:val="Title"/>
    <w:uiPriority w:val="10"/>
    <w:rsid w:val="008A0F91"/>
    <w:rPr>
      <w:rFonts w:ascii="Calibri" w:eastAsia="Calibri" w:hAnsi="Calibri" w:cs="Calibri"/>
      <w:b/>
      <w:bCs/>
      <w:sz w:val="24"/>
      <w:szCs w:val="24"/>
    </w:rPr>
  </w:style>
  <w:style w:type="paragraph" w:styleId="BodyText">
    <w:name w:val="Body Text"/>
    <w:basedOn w:val="Normal"/>
    <w:link w:val="BodyTextChar"/>
    <w:uiPriority w:val="1"/>
    <w:semiHidden/>
    <w:unhideWhenUsed/>
    <w:qFormat/>
    <w:rsid w:val="008A0F91"/>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semiHidden/>
    <w:rsid w:val="008A0F91"/>
    <w:rPr>
      <w:rFonts w:ascii="Calibri" w:eastAsia="Calibri" w:hAnsi="Calibri" w:cs="Calibri"/>
      <w:sz w:val="24"/>
      <w:szCs w:val="24"/>
    </w:rPr>
  </w:style>
  <w:style w:type="paragraph" w:styleId="ListParagraph">
    <w:name w:val="List Paragraph"/>
    <w:basedOn w:val="Normal"/>
    <w:uiPriority w:val="1"/>
    <w:qFormat/>
    <w:rsid w:val="008A0F91"/>
    <w:pPr>
      <w:widowControl w:val="0"/>
      <w:autoSpaceDE w:val="0"/>
      <w:autoSpaceDN w:val="0"/>
      <w:ind w:left="839" w:hanging="360"/>
    </w:pPr>
    <w:rPr>
      <w:rFonts w:ascii="Calibri" w:eastAsia="Calibri" w:hAnsi="Calibri" w:cs="Calibri"/>
      <w:sz w:val="22"/>
      <w:szCs w:val="22"/>
    </w:rPr>
  </w:style>
  <w:style w:type="character" w:styleId="FollowedHyperlink">
    <w:name w:val="FollowedHyperlink"/>
    <w:basedOn w:val="DefaultParagraphFont"/>
    <w:uiPriority w:val="99"/>
    <w:semiHidden/>
    <w:unhideWhenUsed/>
    <w:rsid w:val="008A0F91"/>
    <w:rPr>
      <w:color w:val="954F72" w:themeColor="followedHyperlink"/>
      <w:u w:val="single"/>
    </w:rPr>
  </w:style>
  <w:style w:type="paragraph" w:customStyle="1" w:styleId="Default">
    <w:name w:val="Default"/>
    <w:rsid w:val="00342CF1"/>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9D2D36"/>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9D2D36"/>
    <w:pPr>
      <w:spacing w:before="100" w:beforeAutospacing="1" w:after="100" w:afterAutospacing="1"/>
    </w:pPr>
  </w:style>
  <w:style w:type="character" w:styleId="UnresolvedMention">
    <w:name w:val="Unresolved Mention"/>
    <w:basedOn w:val="DefaultParagraphFont"/>
    <w:uiPriority w:val="99"/>
    <w:semiHidden/>
    <w:unhideWhenUsed/>
    <w:rsid w:val="000043A1"/>
    <w:rPr>
      <w:color w:val="605E5C"/>
      <w:shd w:val="clear" w:color="auto" w:fill="E1DFDD"/>
    </w:rPr>
  </w:style>
  <w:style w:type="character" w:styleId="CommentReference">
    <w:name w:val="annotation reference"/>
    <w:basedOn w:val="DefaultParagraphFont"/>
    <w:uiPriority w:val="99"/>
    <w:semiHidden/>
    <w:unhideWhenUsed/>
    <w:rsid w:val="005A5259"/>
    <w:rPr>
      <w:sz w:val="16"/>
      <w:szCs w:val="16"/>
    </w:rPr>
  </w:style>
  <w:style w:type="paragraph" w:styleId="CommentText">
    <w:name w:val="annotation text"/>
    <w:basedOn w:val="Normal"/>
    <w:link w:val="CommentTextChar"/>
    <w:uiPriority w:val="99"/>
    <w:semiHidden/>
    <w:unhideWhenUsed/>
    <w:rsid w:val="005A5259"/>
    <w:rPr>
      <w:sz w:val="20"/>
      <w:szCs w:val="20"/>
    </w:rPr>
  </w:style>
  <w:style w:type="character" w:customStyle="1" w:styleId="CommentTextChar">
    <w:name w:val="Comment Text Char"/>
    <w:basedOn w:val="DefaultParagraphFont"/>
    <w:link w:val="CommentText"/>
    <w:uiPriority w:val="99"/>
    <w:semiHidden/>
    <w:rsid w:val="005A52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5259"/>
    <w:rPr>
      <w:b/>
      <w:bCs/>
    </w:rPr>
  </w:style>
  <w:style w:type="character" w:customStyle="1" w:styleId="CommentSubjectChar">
    <w:name w:val="Comment Subject Char"/>
    <w:basedOn w:val="CommentTextChar"/>
    <w:link w:val="CommentSubject"/>
    <w:uiPriority w:val="99"/>
    <w:semiHidden/>
    <w:rsid w:val="005A5259"/>
    <w:rPr>
      <w:rFonts w:ascii="Times New Roman" w:eastAsia="Times New Roman" w:hAnsi="Times New Roman" w:cs="Times New Roman"/>
      <w:b/>
      <w:bCs/>
      <w:sz w:val="20"/>
      <w:szCs w:val="20"/>
    </w:rPr>
  </w:style>
  <w:style w:type="character" w:styleId="HTMLTypewriter">
    <w:name w:val="HTML Typewriter"/>
    <w:semiHidden/>
    <w:unhideWhenUsed/>
    <w:rsid w:val="00E4151D"/>
    <w:rPr>
      <w:rFonts w:ascii="Courier New" w:eastAsia="Times New Roman" w:hAnsi="Courier New" w:cs="Courier New" w:hint="default"/>
      <w:sz w:val="24"/>
      <w:szCs w:val="24"/>
    </w:rPr>
  </w:style>
  <w:style w:type="paragraph" w:styleId="Header">
    <w:name w:val="header"/>
    <w:basedOn w:val="Normal"/>
    <w:link w:val="HeaderChar"/>
    <w:semiHidden/>
    <w:unhideWhenUsed/>
    <w:rsid w:val="00E4151D"/>
    <w:pPr>
      <w:tabs>
        <w:tab w:val="center" w:pos="4320"/>
        <w:tab w:val="right" w:pos="8640"/>
      </w:tabs>
    </w:pPr>
  </w:style>
  <w:style w:type="character" w:customStyle="1" w:styleId="HeaderChar">
    <w:name w:val="Header Char"/>
    <w:basedOn w:val="DefaultParagraphFont"/>
    <w:link w:val="Header"/>
    <w:semiHidden/>
    <w:rsid w:val="00E4151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58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8AB"/>
    <w:rPr>
      <w:rFonts w:ascii="Segoe UI" w:eastAsia="Times New Roman" w:hAnsi="Segoe UI" w:cs="Segoe UI"/>
      <w:sz w:val="18"/>
      <w:szCs w:val="18"/>
    </w:rPr>
  </w:style>
  <w:style w:type="character" w:styleId="Emphasis">
    <w:name w:val="Emphasis"/>
    <w:uiPriority w:val="20"/>
    <w:qFormat/>
    <w:rsid w:val="006973AD"/>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912335">
      <w:bodyDiv w:val="1"/>
      <w:marLeft w:val="0"/>
      <w:marRight w:val="0"/>
      <w:marTop w:val="0"/>
      <w:marBottom w:val="0"/>
      <w:divBdr>
        <w:top w:val="none" w:sz="0" w:space="0" w:color="auto"/>
        <w:left w:val="none" w:sz="0" w:space="0" w:color="auto"/>
        <w:bottom w:val="none" w:sz="0" w:space="0" w:color="auto"/>
        <w:right w:val="none" w:sz="0" w:space="0" w:color="auto"/>
      </w:divBdr>
      <w:divsChild>
        <w:div w:id="493109293">
          <w:marLeft w:val="0"/>
          <w:marRight w:val="0"/>
          <w:marTop w:val="0"/>
          <w:marBottom w:val="0"/>
          <w:divBdr>
            <w:top w:val="none" w:sz="0" w:space="0" w:color="auto"/>
            <w:left w:val="none" w:sz="0" w:space="0" w:color="auto"/>
            <w:bottom w:val="none" w:sz="0" w:space="0" w:color="auto"/>
            <w:right w:val="none" w:sz="0" w:space="0" w:color="auto"/>
          </w:divBdr>
        </w:div>
      </w:divsChild>
    </w:div>
    <w:div w:id="1651059904">
      <w:bodyDiv w:val="1"/>
      <w:marLeft w:val="0"/>
      <w:marRight w:val="0"/>
      <w:marTop w:val="0"/>
      <w:marBottom w:val="0"/>
      <w:divBdr>
        <w:top w:val="none" w:sz="0" w:space="0" w:color="auto"/>
        <w:left w:val="none" w:sz="0" w:space="0" w:color="auto"/>
        <w:bottom w:val="none" w:sz="0" w:space="0" w:color="auto"/>
        <w:right w:val="none" w:sz="0" w:space="0" w:color="auto"/>
      </w:divBdr>
    </w:div>
    <w:div w:id="19675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bc.utah.edu/ibc-registration.php" TargetMode="External"/><Relationship Id="rId13" Type="http://schemas.openxmlformats.org/officeDocument/2006/relationships/hyperlink" Target="https://www.epa.gov/pesticide-registration/epas-registered-antimicrobial-products-effective-against-bloodborne" TargetMode="External"/><Relationship Id="rId18" Type="http://schemas.openxmlformats.org/officeDocument/2006/relationships/hyperlink" Target="https://oehs.utah.edu/incidentnear-miss-report" TargetMode="External"/><Relationship Id="rId3" Type="http://schemas.openxmlformats.org/officeDocument/2006/relationships/settings" Target="settings.xml"/><Relationship Id="rId7" Type="http://schemas.openxmlformats.org/officeDocument/2006/relationships/hyperlink" Target="https://www.atcc.org/support/technical-support/faqs/biosafety-level-for-atcc-cultures" TargetMode="External"/><Relationship Id="rId12" Type="http://schemas.openxmlformats.org/officeDocument/2006/relationships/hyperlink" Target="https://oehs.utah.edu/resource-center/forms/hazard-warning-signage-questionnaire" TargetMode="External"/><Relationship Id="rId17" Type="http://schemas.openxmlformats.org/officeDocument/2006/relationships/hyperlink" Target="https://benefits.utah.edu/work-related-injury-or-illness" TargetMode="External"/><Relationship Id="rId2" Type="http://schemas.openxmlformats.org/officeDocument/2006/relationships/styles" Target="styles.xml"/><Relationship Id="rId16" Type="http://schemas.openxmlformats.org/officeDocument/2006/relationships/hyperlink" Target="http://healthcare.utah.edu/occme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dc.gov/labs/pdf/SF__19_308133-A_BMBL6_00-BOOK-WEB-final-3.pdf" TargetMode="External"/><Relationship Id="rId11" Type="http://schemas.openxmlformats.org/officeDocument/2006/relationships/hyperlink" Target="https://ibc.utah.edu/biosafety-policies.php" TargetMode="External"/><Relationship Id="rId5" Type="http://schemas.openxmlformats.org/officeDocument/2006/relationships/image" Target="media/image1.png"/><Relationship Id="rId15" Type="http://schemas.openxmlformats.org/officeDocument/2006/relationships/hyperlink" Target="https://www.hr.utah.edu/RedMed" TargetMode="External"/><Relationship Id="rId10" Type="http://schemas.openxmlformats.org/officeDocument/2006/relationships/hyperlink" Target="https://ibc.utah.edu/biosafety-policies.ph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bc.utah.edu/training.php" TargetMode="External"/><Relationship Id="rId14" Type="http://schemas.openxmlformats.org/officeDocument/2006/relationships/hyperlink" Target="https://oehs.utah.edu/incidentnear-miss-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2535</Words>
  <Characters>14455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Utah</Company>
  <LinksUpToDate>false</LinksUpToDate>
  <CharactersWithSpaces>16957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Eckert</dc:creator>
  <cp:keywords/>
  <dc:description/>
  <cp:lastModifiedBy>Debbie Eckert</cp:lastModifiedBy>
  <cp:revision>2</cp:revision>
  <dcterms:created xsi:type="dcterms:W3CDTF">2024-08-19T21:19:00Z</dcterms:created>
  <dcterms:modified xsi:type="dcterms:W3CDTF">2024-08-19T21:19:00Z</dcterms:modified>
</cp:coreProperties>
</file>