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D55DDD" w:rsidRDefault="00FF6E6A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Containment Level Change:</w:t>
                            </w:r>
                            <w:r w:rsidR="00A4510E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Stepdown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D55DDD" w:rsidRDefault="00FF6E6A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Containment Level Change:</w:t>
                      </w:r>
                      <w:r w:rsidR="00A4510E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Stepdown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10E" w:rsidRPr="005E7E19" w:rsidRDefault="004606E5" w:rsidP="005E7E19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  <w:szCs w:val="24"/>
        </w:rPr>
      </w:pPr>
      <w:r w:rsidRPr="005E7E19">
        <w:rPr>
          <w:rFonts w:asciiTheme="minorHAnsi" w:hAnsiTheme="minorHAnsi" w:cstheme="minorHAnsi"/>
          <w:sz w:val="24"/>
          <w:szCs w:val="24"/>
        </w:rPr>
        <w:t xml:space="preserve">This SOP applies to </w:t>
      </w:r>
      <w:r w:rsidR="00A4510E" w:rsidRPr="005E7E19">
        <w:rPr>
          <w:rFonts w:asciiTheme="minorHAnsi" w:hAnsiTheme="minorHAnsi" w:cstheme="minorHAnsi"/>
          <w:sz w:val="24"/>
          <w:szCs w:val="24"/>
        </w:rPr>
        <w:t xml:space="preserve">reduction of the containment level (stepdown) following administration of </w:t>
      </w:r>
      <w:r w:rsidR="005E7E19">
        <w:rPr>
          <w:rFonts w:asciiTheme="minorHAnsi" w:hAnsiTheme="minorHAnsi" w:cstheme="minorHAnsi"/>
          <w:sz w:val="24"/>
          <w:szCs w:val="24"/>
        </w:rPr>
        <w:t xml:space="preserve">certain </w:t>
      </w:r>
      <w:r w:rsidR="00A4510E" w:rsidRPr="005E7E19">
        <w:rPr>
          <w:rFonts w:asciiTheme="minorHAnsi" w:hAnsiTheme="minorHAnsi" w:cstheme="minorHAnsi"/>
          <w:sz w:val="24"/>
          <w:szCs w:val="24"/>
        </w:rPr>
        <w:t>recombinant viral vectors or biological toxins</w:t>
      </w:r>
      <w:r w:rsidR="00030454">
        <w:rPr>
          <w:rFonts w:asciiTheme="minorHAnsi" w:hAnsiTheme="minorHAnsi" w:cstheme="minorHAnsi"/>
          <w:sz w:val="24"/>
          <w:szCs w:val="24"/>
        </w:rPr>
        <w:t>: this is also referred to as ABSL1+</w:t>
      </w:r>
      <w:r w:rsidR="00A4510E" w:rsidRPr="005E7E1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A692B" w:rsidRPr="005E7E19" w:rsidRDefault="00A4510E" w:rsidP="005E7E19">
      <w:pPr>
        <w:pStyle w:val="Header"/>
        <w:spacing w:after="120" w:line="276" w:lineRule="auto"/>
        <w:ind w:left="144" w:right="133"/>
        <w:rPr>
          <w:rFonts w:cstheme="minorHAnsi"/>
          <w:sz w:val="24"/>
          <w:szCs w:val="24"/>
        </w:rPr>
      </w:pPr>
      <w:r w:rsidRPr="005E7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2050415</wp:posOffset>
                </wp:positionV>
                <wp:extent cx="6707505" cy="318135"/>
                <wp:effectExtent l="6985" t="10795" r="101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pt;margin-top:161.45pt;width:528.15pt;height:25.0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7E19">
        <w:rPr>
          <w:rFonts w:cstheme="minorHAnsi"/>
          <w:sz w:val="24"/>
          <w:szCs w:val="24"/>
        </w:rPr>
        <w:t>Switching the containment level increases the potential for materials to be handled without the</w:t>
      </w:r>
      <w:r w:rsidRPr="005E7E19">
        <w:rPr>
          <w:rFonts w:cstheme="minorHAnsi"/>
          <w:w w:val="99"/>
          <w:sz w:val="24"/>
          <w:szCs w:val="24"/>
        </w:rPr>
        <w:t xml:space="preserve"> </w:t>
      </w:r>
      <w:r w:rsidRPr="005E7E19">
        <w:rPr>
          <w:rFonts w:cstheme="minorHAnsi"/>
          <w:sz w:val="24"/>
          <w:szCs w:val="24"/>
        </w:rPr>
        <w:t>appropriate controls. To minimize risk, all waste must be disposed of and all surfaces decontaminated before</w:t>
      </w:r>
      <w:r w:rsidRPr="005E7E19">
        <w:rPr>
          <w:rFonts w:cstheme="minorHAnsi"/>
          <w:w w:val="99"/>
          <w:sz w:val="24"/>
          <w:szCs w:val="24"/>
        </w:rPr>
        <w:t xml:space="preserve"> </w:t>
      </w:r>
      <w:r w:rsidRPr="005E7E19">
        <w:rPr>
          <w:rFonts w:cstheme="minorHAnsi"/>
          <w:sz w:val="24"/>
          <w:szCs w:val="24"/>
        </w:rPr>
        <w:t>switching the containment level of the facility. Personnel must receive training on stepdown procedures, and signage</w:t>
      </w:r>
      <w:r w:rsidRPr="005E7E19">
        <w:rPr>
          <w:rFonts w:cstheme="minorHAnsi"/>
          <w:w w:val="99"/>
          <w:sz w:val="24"/>
          <w:szCs w:val="24"/>
        </w:rPr>
        <w:t xml:space="preserve"> </w:t>
      </w:r>
      <w:r w:rsidRPr="005E7E19">
        <w:rPr>
          <w:rFonts w:cstheme="minorHAnsi"/>
          <w:sz w:val="24"/>
          <w:szCs w:val="24"/>
        </w:rPr>
        <w:t>must be posted to clearly indicate the containment level. For variable periods after inoculation animals are handled using ABSL-2 practices in ABSL-1 housing rooms.  These time periods are dictated by the Institutional Biosafety Committee (IBC) for each vector/toxin to ensure no vector/toxin remains present on animal fur or is shed in excreta post-inoculation.  After this holding period animals are transferred to a new cage and managed using ABSL-1 practices.  The cage from which animals are transferred is managed using ABSL-2 practices</w:t>
      </w:r>
    </w:p>
    <w:p w:rsidR="00585A6D" w:rsidRPr="005E7E19" w:rsidRDefault="003F2FEC" w:rsidP="005E7E19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5E7E1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E1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A0" w:rsidRPr="005E7E1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620395</wp:posOffset>
            </wp:positionV>
            <wp:extent cx="1203325" cy="1010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ty Glasses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5E7E19" w:rsidRDefault="00585A6D" w:rsidP="005E7E19">
      <w:pPr>
        <w:pStyle w:val="BodyText"/>
        <w:spacing w:before="0" w:after="120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5E7E19">
        <w:rPr>
          <w:rFonts w:asciiTheme="minorHAnsi" w:hAnsiTheme="minorHAnsi" w:cstheme="minorHAnsi"/>
          <w:b/>
          <w:noProof/>
          <w:sz w:val="24"/>
          <w:szCs w:val="24"/>
        </w:rPr>
        <w:t>BSL2</w:t>
      </w:r>
    </w:p>
    <w:p w:rsidR="00585A6D" w:rsidRPr="005E7E19" w:rsidRDefault="00585A6D" w:rsidP="005E7E19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5E7E19" w:rsidRDefault="00585A6D" w:rsidP="005E7E19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5E7E19" w:rsidRDefault="005E7E19" w:rsidP="005E7E19">
      <w:pPr>
        <w:pStyle w:val="BodyText"/>
        <w:spacing w:before="0" w:after="120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5E7E1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245110</wp:posOffset>
            </wp:positionV>
            <wp:extent cx="1085850" cy="8610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E19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168910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E19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165100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E19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238760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A0" w:rsidRPr="005E7E19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="00C879A0" w:rsidRPr="005E7E19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5E7E19" w:rsidRDefault="00585A6D" w:rsidP="005E7E19">
      <w:pPr>
        <w:pStyle w:val="BodyText"/>
        <w:spacing w:before="0" w:after="120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5E7E19" w:rsidRDefault="00585A6D" w:rsidP="005E7E19">
      <w:pPr>
        <w:pStyle w:val="BodyText"/>
        <w:spacing w:before="0" w:after="120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6A692B" w:rsidRPr="005E7E19" w:rsidRDefault="005E7E19" w:rsidP="005E7E19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5E7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9.2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6A692B" w:rsidRPr="005E7E19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5E7E19" w:rsidRDefault="004606E5" w:rsidP="005E7E19">
            <w:pPr>
              <w:pStyle w:val="TableParagraph"/>
              <w:spacing w:after="120" w:line="276" w:lineRule="auto"/>
              <w:ind w:left="135" w:right="206" w:firstLine="4"/>
              <w:rPr>
                <w:rFonts w:eastAsia="Segoe UI" w:cstheme="minorHAnsi"/>
                <w:sz w:val="24"/>
                <w:szCs w:val="24"/>
              </w:rPr>
            </w:pPr>
            <w:r w:rsidRPr="005E7E19">
              <w:rPr>
                <w:rFonts w:cstheme="minorHAnsi"/>
                <w:b/>
                <w:sz w:val="24"/>
                <w:szCs w:val="24"/>
              </w:rPr>
              <w:t xml:space="preserve">Biosafety Cabinet </w:t>
            </w:r>
            <w:r w:rsidRPr="005E7E19">
              <w:rPr>
                <w:rFonts w:cstheme="minorHAnsi"/>
                <w:sz w:val="24"/>
                <w:szCs w:val="24"/>
              </w:rPr>
              <w:t>or other</w:t>
            </w:r>
            <w:r w:rsidRPr="005E7E19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5E7E19">
              <w:rPr>
                <w:rFonts w:cstheme="minorHAnsi"/>
                <w:sz w:val="24"/>
                <w:szCs w:val="24"/>
              </w:rPr>
              <w:t>aerosol containment device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5E7E19" w:rsidRDefault="004606E5" w:rsidP="005E7E19">
            <w:pPr>
              <w:pStyle w:val="TableParagraph"/>
              <w:spacing w:after="120" w:line="276" w:lineRule="auto"/>
              <w:ind w:left="128" w:right="742"/>
              <w:rPr>
                <w:rFonts w:eastAsia="Segoe UI" w:cstheme="minorHAnsi"/>
                <w:sz w:val="24"/>
                <w:szCs w:val="24"/>
              </w:rPr>
            </w:pPr>
            <w:r w:rsidRPr="005E7E19">
              <w:rPr>
                <w:rFonts w:cstheme="minorHAnsi"/>
                <w:sz w:val="24"/>
                <w:szCs w:val="24"/>
              </w:rPr>
              <w:t>Enclosed, ventilated laboratory workspace that protects the worker from</w:t>
            </w:r>
            <w:r w:rsidRPr="005E7E19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5E7E19">
              <w:rPr>
                <w:rFonts w:cstheme="minorHAnsi"/>
                <w:sz w:val="24"/>
                <w:szCs w:val="24"/>
              </w:rPr>
              <w:t>aerosols</w:t>
            </w:r>
          </w:p>
        </w:tc>
      </w:tr>
      <w:tr w:rsidR="00A4510E" w:rsidRPr="005E7E19" w:rsidTr="005E7E19">
        <w:trPr>
          <w:trHeight w:hRule="exact" w:val="74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4510E" w:rsidRPr="005E7E19" w:rsidRDefault="00A4510E" w:rsidP="005E7E19">
            <w:pPr>
              <w:pStyle w:val="TableParagraph"/>
              <w:spacing w:after="120" w:line="276" w:lineRule="auto"/>
              <w:ind w:left="135" w:right="233" w:hanging="8"/>
              <w:rPr>
                <w:rFonts w:eastAsia="Segoe UI" w:cstheme="minorHAnsi"/>
                <w:sz w:val="24"/>
                <w:szCs w:val="24"/>
              </w:rPr>
            </w:pPr>
            <w:r w:rsidRPr="005E7E19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5E7E19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5E7E19">
              <w:rPr>
                <w:rFonts w:cstheme="minorHAnsi"/>
                <w:b/>
                <w:sz w:val="24"/>
                <w:szCs w:val="24"/>
              </w:rPr>
              <w:t>Container &amp; Bag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4510E" w:rsidRPr="005E7E19" w:rsidRDefault="00A4510E" w:rsidP="005E7E19">
            <w:pPr>
              <w:pStyle w:val="TableParagraph"/>
              <w:spacing w:after="120" w:line="276" w:lineRule="auto"/>
              <w:ind w:left="150" w:right="265"/>
              <w:rPr>
                <w:rFonts w:eastAsia="Segoe UI" w:cstheme="minorHAnsi"/>
                <w:sz w:val="24"/>
                <w:szCs w:val="24"/>
              </w:rPr>
            </w:pPr>
            <w:r w:rsidRPr="005E7E19">
              <w:rPr>
                <w:rFonts w:eastAsia="Segoe UI" w:cstheme="minorHAnsi"/>
                <w:sz w:val="24"/>
                <w:szCs w:val="24"/>
              </w:rPr>
              <w:t>Non-porous, leak-resistant, “biohazard”-labeled container with a tight-fitting lid and</w:t>
            </w:r>
            <w:r w:rsidRPr="005E7E19">
              <w:rPr>
                <w:rFonts w:eastAsia="Segoe UI" w:cstheme="minorHAnsi"/>
                <w:w w:val="99"/>
                <w:sz w:val="24"/>
                <w:szCs w:val="24"/>
              </w:rPr>
              <w:t xml:space="preserve"> </w:t>
            </w:r>
            <w:r w:rsidRPr="005E7E19">
              <w:rPr>
                <w:rFonts w:eastAsia="Segoe UI" w:cstheme="minorHAnsi"/>
                <w:sz w:val="24"/>
                <w:szCs w:val="24"/>
              </w:rPr>
              <w:t>lined with a compliant red biohazard bag</w:t>
            </w:r>
          </w:p>
        </w:tc>
      </w:tr>
      <w:tr w:rsidR="006A692B" w:rsidRPr="005E7E19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5E7E19" w:rsidRDefault="004606E5" w:rsidP="005E7E19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5E7E19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5E7E19" w:rsidRDefault="004606E5" w:rsidP="005E7E19">
            <w:pPr>
              <w:pStyle w:val="TableParagraph"/>
              <w:spacing w:after="120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5E7E19">
              <w:rPr>
                <w:rFonts w:cstheme="minorHAnsi"/>
                <w:sz w:val="24"/>
                <w:szCs w:val="24"/>
              </w:rPr>
              <w:t>Appropriate to the agent(s) (see Decontamination</w:t>
            </w:r>
            <w:r w:rsidR="00D55DDD" w:rsidRPr="005E7E19">
              <w:rPr>
                <w:rFonts w:cstheme="minorHAnsi"/>
                <w:sz w:val="24"/>
                <w:szCs w:val="24"/>
              </w:rPr>
              <w:t xml:space="preserve"> and </w:t>
            </w:r>
            <w:r w:rsidR="00193D56" w:rsidRPr="005E7E19">
              <w:rPr>
                <w:rFonts w:cstheme="minorHAnsi"/>
                <w:sz w:val="24"/>
                <w:szCs w:val="24"/>
              </w:rPr>
              <w:t>Disinfection</w:t>
            </w:r>
            <w:r w:rsidRPr="005E7E19">
              <w:rPr>
                <w:rFonts w:cstheme="minorHAnsi"/>
                <w:sz w:val="24"/>
                <w:szCs w:val="24"/>
              </w:rPr>
              <w:t xml:space="preserve"> SOP)</w:t>
            </w:r>
          </w:p>
        </w:tc>
      </w:tr>
    </w:tbl>
    <w:p w:rsidR="00193D56" w:rsidRPr="005E7E19" w:rsidRDefault="00193D56" w:rsidP="005E7E19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5E7E19">
        <w:rPr>
          <w:rFonts w:eastAsia="Segoe UI" w:cstheme="minorHAnsi"/>
          <w:sz w:val="24"/>
          <w:szCs w:val="24"/>
        </w:rPr>
        <w:br w:type="page"/>
      </w:r>
    </w:p>
    <w:p w:rsidR="00193D56" w:rsidRPr="005E7E19" w:rsidRDefault="00193D56" w:rsidP="005E7E19">
      <w:pPr>
        <w:spacing w:after="120" w:line="276" w:lineRule="auto"/>
        <w:ind w:left="111"/>
        <w:rPr>
          <w:rFonts w:eastAsia="Segoe UI" w:cstheme="minorHAnsi"/>
          <w:sz w:val="24"/>
          <w:szCs w:val="24"/>
        </w:rPr>
      </w:pPr>
      <w:r w:rsidRPr="005E7E19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510E" w:rsidRPr="005E7E19" w:rsidRDefault="005E7E19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 xml:space="preserve">Viral vectors or </w:t>
      </w:r>
      <w:r w:rsidR="00A4510E" w:rsidRPr="005E7E19">
        <w:rPr>
          <w:rFonts w:asciiTheme="minorHAnsi" w:hAnsiTheme="minorHAnsi" w:cstheme="minorHAnsi"/>
        </w:rPr>
        <w:t>Toxins are administered in a Biosafety Cabinet (BSC)</w:t>
      </w:r>
      <w:r w:rsidR="00A4510E" w:rsidRPr="005E7E19">
        <w:rPr>
          <w:rFonts w:asciiTheme="minorHAnsi" w:hAnsiTheme="minorHAnsi" w:cstheme="minorHAnsi"/>
          <w:b/>
        </w:rPr>
        <w:t xml:space="preserve"> </w:t>
      </w:r>
      <w:r w:rsidR="00A4510E" w:rsidRPr="005E7E19">
        <w:rPr>
          <w:rFonts w:asciiTheme="minorHAnsi" w:hAnsiTheme="minorHAnsi" w:cstheme="minorHAnsi"/>
        </w:rPr>
        <w:t xml:space="preserve">on absorbent pad.  </w:t>
      </w:r>
    </w:p>
    <w:p w:rsidR="00A4510E" w:rsidRPr="005E7E19" w:rsidRDefault="00A4510E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 xml:space="preserve">Investigators place a </w:t>
      </w:r>
      <w:r w:rsidR="005E7E19" w:rsidRPr="005E7E19">
        <w:rPr>
          <w:rFonts w:asciiTheme="minorHAnsi" w:hAnsiTheme="minorHAnsi" w:cstheme="minorHAnsi"/>
        </w:rPr>
        <w:t>“Viral Vector Step</w:t>
      </w:r>
      <w:r w:rsidR="005E7E19">
        <w:rPr>
          <w:rFonts w:asciiTheme="minorHAnsi" w:hAnsiTheme="minorHAnsi" w:cstheme="minorHAnsi"/>
        </w:rPr>
        <w:t xml:space="preserve"> D</w:t>
      </w:r>
      <w:r w:rsidR="005E7E19" w:rsidRPr="005E7E19">
        <w:rPr>
          <w:rFonts w:asciiTheme="minorHAnsi" w:hAnsiTheme="minorHAnsi" w:cstheme="minorHAnsi"/>
        </w:rPr>
        <w:t xml:space="preserve">own” or a </w:t>
      </w:r>
      <w:r w:rsidRPr="005E7E19">
        <w:rPr>
          <w:rFonts w:asciiTheme="minorHAnsi" w:hAnsiTheme="minorHAnsi" w:cstheme="minorHAnsi"/>
        </w:rPr>
        <w:t xml:space="preserve">“Biological Toxin Step Down” Card on the cage, noting the </w:t>
      </w:r>
      <w:r w:rsidR="005E7E19" w:rsidRPr="005E7E19">
        <w:rPr>
          <w:rFonts w:asciiTheme="minorHAnsi" w:hAnsiTheme="minorHAnsi" w:cstheme="minorHAnsi"/>
        </w:rPr>
        <w:t>vector/</w:t>
      </w:r>
      <w:r w:rsidRPr="005E7E19">
        <w:rPr>
          <w:rFonts w:asciiTheme="minorHAnsi" w:hAnsiTheme="minorHAnsi" w:cstheme="minorHAnsi"/>
        </w:rPr>
        <w:t>toxin, date inoculated, and date of step down on the card.</w:t>
      </w:r>
    </w:p>
    <w:p w:rsidR="00A4510E" w:rsidRPr="005E7E19" w:rsidRDefault="00A4510E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>Animals are housed in microisolator caging, opened only in biosafety cabinets.</w:t>
      </w:r>
    </w:p>
    <w:p w:rsidR="00A4510E" w:rsidRPr="005E7E19" w:rsidRDefault="00A4510E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>Investigators provide required care (i.e. supplementing feed, water, etc.) until the step down occurs.  The investigator’s staff perform any required cage changes</w:t>
      </w:r>
      <w:r w:rsidRPr="005E7E19">
        <w:rPr>
          <w:rFonts w:asciiTheme="minorHAnsi" w:hAnsiTheme="minorHAnsi" w:cstheme="minorHAnsi"/>
          <w:b/>
        </w:rPr>
        <w:t xml:space="preserve"> </w:t>
      </w:r>
      <w:r w:rsidRPr="005E7E19">
        <w:rPr>
          <w:rFonts w:asciiTheme="minorHAnsi" w:hAnsiTheme="minorHAnsi" w:cstheme="minorHAnsi"/>
        </w:rPr>
        <w:t>during the step down period.  Cage changes occur only in cage changing stations or biosafety cabinets.</w:t>
      </w:r>
    </w:p>
    <w:p w:rsidR="00A4510E" w:rsidRPr="005E7E19" w:rsidRDefault="00A4510E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>On the day of the step down the investigator’s staff place the cage in a biosafety cabinet and move the animals to a clean cage.  Do not transfer the</w:t>
      </w:r>
      <w:r w:rsidR="005E7E19">
        <w:rPr>
          <w:rFonts w:asciiTheme="minorHAnsi" w:hAnsiTheme="minorHAnsi" w:cstheme="minorHAnsi"/>
        </w:rPr>
        <w:t xml:space="preserve"> </w:t>
      </w:r>
      <w:r w:rsidR="005E7E19" w:rsidRPr="005E7E19">
        <w:rPr>
          <w:rFonts w:asciiTheme="minorHAnsi" w:hAnsiTheme="minorHAnsi" w:cstheme="minorHAnsi"/>
        </w:rPr>
        <w:t>“Viral Vector Step</w:t>
      </w:r>
      <w:r w:rsidR="005E7E19">
        <w:rPr>
          <w:rFonts w:asciiTheme="minorHAnsi" w:hAnsiTheme="minorHAnsi" w:cstheme="minorHAnsi"/>
        </w:rPr>
        <w:t xml:space="preserve"> D</w:t>
      </w:r>
      <w:r w:rsidR="005E7E19" w:rsidRPr="005E7E19">
        <w:rPr>
          <w:rFonts w:asciiTheme="minorHAnsi" w:hAnsiTheme="minorHAnsi" w:cstheme="minorHAnsi"/>
        </w:rPr>
        <w:t>own” or</w:t>
      </w:r>
      <w:r w:rsidRPr="005E7E19">
        <w:rPr>
          <w:rFonts w:asciiTheme="minorHAnsi" w:hAnsiTheme="minorHAnsi" w:cstheme="minorHAnsi"/>
        </w:rPr>
        <w:t xml:space="preserve"> “Biological Toxin Step Down” Card to the new cage. </w:t>
      </w:r>
    </w:p>
    <w:p w:rsidR="00A4510E" w:rsidRPr="005E7E19" w:rsidRDefault="00A4510E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>The new cage is returned to the rack and managed at the ABSL-1 level.</w:t>
      </w:r>
    </w:p>
    <w:p w:rsidR="00A4510E" w:rsidRPr="005E7E19" w:rsidRDefault="00A4510E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 xml:space="preserve">Place the contaminated cage in an autoclavable bag.  Seal the bag and spray the bag with disinfectant. </w:t>
      </w:r>
    </w:p>
    <w:p w:rsidR="00A4510E" w:rsidRPr="005E7E19" w:rsidRDefault="00A4510E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>Transport the closed bag to the dirty cage rack and the animal care staff will process the cage using ABSL-2 practices.</w:t>
      </w:r>
    </w:p>
    <w:p w:rsidR="00A4510E" w:rsidRPr="005E7E19" w:rsidRDefault="005E7E19" w:rsidP="005E7E19">
      <w:pPr>
        <w:pStyle w:val="MediumList2-Accent41"/>
        <w:numPr>
          <w:ilvl w:val="0"/>
          <w:numId w:val="6"/>
        </w:numPr>
        <w:spacing w:after="120" w:line="276" w:lineRule="auto"/>
        <w:ind w:left="547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-129540</wp:posOffset>
                </wp:positionH>
                <wp:positionV relativeFrom="paragraph">
                  <wp:posOffset>497840</wp:posOffset>
                </wp:positionV>
                <wp:extent cx="6610350" cy="140462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-10.2pt;margin-top:39.2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10E" w:rsidRPr="005E7E19">
        <w:rPr>
          <w:rFonts w:asciiTheme="minorHAnsi" w:hAnsiTheme="minorHAnsi" w:cstheme="minorHAnsi"/>
        </w:rPr>
        <w:t>All waste generated during the procedures, must be handled using ABSL-2</w:t>
      </w:r>
      <w:r w:rsidR="00A4510E" w:rsidRPr="005E7E19">
        <w:rPr>
          <w:rFonts w:asciiTheme="minorHAnsi" w:hAnsiTheme="minorHAnsi" w:cstheme="minorHAnsi"/>
          <w:b/>
        </w:rPr>
        <w:t xml:space="preserve"> </w:t>
      </w:r>
      <w:r w:rsidR="00A4510E" w:rsidRPr="005E7E19">
        <w:rPr>
          <w:rFonts w:asciiTheme="minorHAnsi" w:hAnsiTheme="minorHAnsi" w:cstheme="minorHAnsi"/>
        </w:rPr>
        <w:t>practices.</w:t>
      </w:r>
    </w:p>
    <w:p w:rsidR="006A692B" w:rsidRPr="005E7E19" w:rsidRDefault="006A692B" w:rsidP="005E7E19">
      <w:pPr>
        <w:spacing w:after="120" w:line="276" w:lineRule="auto"/>
        <w:rPr>
          <w:rFonts w:eastAsia="Segoe UI" w:cstheme="minorHAnsi"/>
          <w:sz w:val="24"/>
          <w:szCs w:val="24"/>
        </w:rPr>
      </w:pPr>
    </w:p>
    <w:p w:rsidR="005E7E19" w:rsidRPr="005E7E19" w:rsidRDefault="005E7E19" w:rsidP="005E7E19">
      <w:pPr>
        <w:pStyle w:val="MediumList2-Accent41"/>
        <w:numPr>
          <w:ilvl w:val="0"/>
          <w:numId w:val="4"/>
        </w:numPr>
        <w:spacing w:after="120" w:line="276" w:lineRule="auto"/>
        <w:ind w:left="540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>Only vectors/toxins approved by the Institutional Biosafety Committee (IBC) for step-down practice may be used as per this SOP. The IBC will assign the time period that the animals must be housed at ABSL2 prior to stepdown.</w:t>
      </w:r>
    </w:p>
    <w:p w:rsidR="005E7E19" w:rsidRPr="005E7E19" w:rsidRDefault="005E7E19" w:rsidP="005E7E19">
      <w:pPr>
        <w:pStyle w:val="MediumList2-Accent41"/>
        <w:numPr>
          <w:ilvl w:val="0"/>
          <w:numId w:val="4"/>
        </w:numPr>
        <w:spacing w:after="120" w:line="276" w:lineRule="auto"/>
        <w:ind w:left="540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 xml:space="preserve">Research staff will inform the animal care staff at least 24 hours in advance that ABSL-2 </w:t>
      </w:r>
      <w:r w:rsidR="003D297C">
        <w:rPr>
          <w:rFonts w:asciiTheme="minorHAnsi" w:hAnsiTheme="minorHAnsi" w:cstheme="minorHAnsi"/>
        </w:rPr>
        <w:t xml:space="preserve">viral vectors or </w:t>
      </w:r>
      <w:r w:rsidRPr="005E7E19">
        <w:rPr>
          <w:rFonts w:asciiTheme="minorHAnsi" w:hAnsiTheme="minorHAnsi" w:cstheme="minorHAnsi"/>
        </w:rPr>
        <w:t xml:space="preserve">toxins will be used for animals housed in ABSL-1 rooms.  </w:t>
      </w:r>
    </w:p>
    <w:p w:rsidR="005E7E19" w:rsidRPr="005E7E19" w:rsidRDefault="005E7E19" w:rsidP="005E7E19">
      <w:pPr>
        <w:pStyle w:val="MediumList2-Accent41"/>
        <w:numPr>
          <w:ilvl w:val="0"/>
          <w:numId w:val="4"/>
        </w:numPr>
        <w:spacing w:after="120" w:line="276" w:lineRule="auto"/>
        <w:ind w:left="540"/>
        <w:contextualSpacing w:val="0"/>
        <w:rPr>
          <w:rFonts w:asciiTheme="minorHAnsi" w:hAnsiTheme="minorHAnsi" w:cstheme="minorHAnsi"/>
        </w:rPr>
      </w:pPr>
      <w:r w:rsidRPr="005E7E19">
        <w:rPr>
          <w:rFonts w:asciiTheme="minorHAnsi" w:hAnsiTheme="minorHAnsi" w:cstheme="minorHAnsi"/>
        </w:rPr>
        <w:t xml:space="preserve"> “Humanized rodents,” those in which human xenografts are present, may be permissive hosts for some viral vectors.  Step down procedures do not apply to permissive hosts.</w:t>
      </w:r>
    </w:p>
    <w:p w:rsidR="005E7E19" w:rsidRPr="005E7E19" w:rsidRDefault="004606E5" w:rsidP="005E7E19">
      <w:pPr>
        <w:pStyle w:val="BodyText"/>
        <w:numPr>
          <w:ilvl w:val="0"/>
          <w:numId w:val="4"/>
        </w:numPr>
        <w:tabs>
          <w:tab w:val="left" w:pos="720"/>
        </w:tabs>
        <w:spacing w:before="0" w:after="120" w:line="276" w:lineRule="auto"/>
        <w:ind w:left="540" w:right="440"/>
        <w:rPr>
          <w:rFonts w:asciiTheme="minorHAnsi" w:hAnsiTheme="minorHAnsi" w:cstheme="minorHAnsi"/>
          <w:sz w:val="24"/>
          <w:szCs w:val="24"/>
        </w:rPr>
      </w:pPr>
      <w:r w:rsidRPr="005E7E19">
        <w:rPr>
          <w:rFonts w:asciiTheme="minorHAnsi" w:hAnsiTheme="minorHAnsi" w:cstheme="minorHAnsi"/>
          <w:sz w:val="24"/>
          <w:szCs w:val="24"/>
        </w:rPr>
        <w:t xml:space="preserve">If </w:t>
      </w:r>
      <w:r w:rsidR="005E7E19" w:rsidRPr="005E7E19">
        <w:rPr>
          <w:rFonts w:asciiTheme="minorHAnsi" w:hAnsiTheme="minorHAnsi" w:cstheme="minorHAnsi"/>
          <w:sz w:val="24"/>
          <w:szCs w:val="24"/>
        </w:rPr>
        <w:t xml:space="preserve">injection </w:t>
      </w:r>
      <w:r w:rsidRPr="005E7E19">
        <w:rPr>
          <w:rFonts w:asciiTheme="minorHAnsi" w:hAnsiTheme="minorHAnsi" w:cstheme="minorHAnsi"/>
          <w:sz w:val="24"/>
          <w:szCs w:val="24"/>
        </w:rPr>
        <w:t>equipment is</w:t>
      </w:r>
      <w:r w:rsidR="005E7E19" w:rsidRPr="005E7E19">
        <w:rPr>
          <w:rFonts w:asciiTheme="minorHAnsi" w:hAnsiTheme="minorHAnsi" w:cstheme="minorHAnsi"/>
          <w:sz w:val="24"/>
          <w:szCs w:val="24"/>
        </w:rPr>
        <w:t xml:space="preserve"> too large to place</w:t>
      </w:r>
      <w:r w:rsidRPr="005E7E19">
        <w:rPr>
          <w:rFonts w:asciiTheme="minorHAnsi" w:hAnsiTheme="minorHAnsi" w:cstheme="minorHAnsi"/>
          <w:sz w:val="24"/>
          <w:szCs w:val="24"/>
        </w:rPr>
        <w:t xml:space="preserve"> inside a BSC</w:t>
      </w:r>
      <w:r w:rsidR="005E7E19" w:rsidRPr="005E7E19">
        <w:rPr>
          <w:rFonts w:asciiTheme="minorHAnsi" w:hAnsiTheme="minorHAnsi" w:cstheme="minorHAnsi"/>
          <w:sz w:val="24"/>
          <w:szCs w:val="24"/>
        </w:rPr>
        <w:t xml:space="preserve">, the investigator may request permission to perform the injections outside of a </w:t>
      </w:r>
      <w:r w:rsidR="00231192" w:rsidRPr="005E7E19">
        <w:rPr>
          <w:rFonts w:asciiTheme="minorHAnsi" w:hAnsiTheme="minorHAnsi" w:cstheme="minorHAnsi"/>
          <w:sz w:val="24"/>
          <w:szCs w:val="24"/>
        </w:rPr>
        <w:t>biosafety cabinet</w:t>
      </w:r>
      <w:r w:rsidR="005E7E19" w:rsidRPr="005E7E19">
        <w:rPr>
          <w:rFonts w:asciiTheme="minorHAnsi" w:hAnsiTheme="minorHAnsi" w:cstheme="minorHAnsi"/>
          <w:sz w:val="24"/>
          <w:szCs w:val="24"/>
        </w:rPr>
        <w:t>.  This request must be reviewed and approved by the IBC and will likely require respiratory protection.</w:t>
      </w:r>
    </w:p>
    <w:p w:rsidR="006A692B" w:rsidRPr="005E7E19" w:rsidRDefault="006A692B" w:rsidP="005E7E19">
      <w:pPr>
        <w:pStyle w:val="BodyText"/>
        <w:tabs>
          <w:tab w:val="left" w:pos="720"/>
        </w:tabs>
        <w:spacing w:before="0" w:after="120" w:line="276" w:lineRule="auto"/>
        <w:ind w:left="180" w:right="44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A692B" w:rsidRPr="005E7E19">
      <w:footerReference w:type="default" r:id="rId14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3D297C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275FA60" wp14:editId="0312DFBD">
          <wp:simplePos x="0" y="0"/>
          <wp:positionH relativeFrom="column">
            <wp:posOffset>2514600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A4510E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Containment Level Stepdown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A4510E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Containment Level Stepdown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97C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97C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</w:t>
                          </w:r>
                          <w:r w:rsidR="003D297C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</w:t>
                    </w:r>
                    <w:r w:rsidR="003D297C">
                      <w:rPr>
                        <w:rFonts w:ascii="Segoe UI"/>
                        <w:i/>
                        <w:spacing w:val="-1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AAB683B"/>
    <w:multiLevelType w:val="multilevel"/>
    <w:tmpl w:val="F19EE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2" w15:restartNumberingAfterBreak="0">
    <w:nsid w:val="285B5C8D"/>
    <w:multiLevelType w:val="hybridMultilevel"/>
    <w:tmpl w:val="97E6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687"/>
    <w:multiLevelType w:val="hybridMultilevel"/>
    <w:tmpl w:val="7F5C8E64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4" w15:restartNumberingAfterBreak="0">
    <w:nsid w:val="624D5F87"/>
    <w:multiLevelType w:val="hybridMultilevel"/>
    <w:tmpl w:val="30EACAA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F600FAB"/>
    <w:multiLevelType w:val="hybridMultilevel"/>
    <w:tmpl w:val="AA76F71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30454"/>
    <w:rsid w:val="00193D56"/>
    <w:rsid w:val="00231192"/>
    <w:rsid w:val="002C199E"/>
    <w:rsid w:val="002E3C6F"/>
    <w:rsid w:val="00375AF9"/>
    <w:rsid w:val="003D297C"/>
    <w:rsid w:val="003F2FEC"/>
    <w:rsid w:val="004606E5"/>
    <w:rsid w:val="004E3EA0"/>
    <w:rsid w:val="004F7826"/>
    <w:rsid w:val="00585A6D"/>
    <w:rsid w:val="005E7E19"/>
    <w:rsid w:val="006A692B"/>
    <w:rsid w:val="008E7237"/>
    <w:rsid w:val="00A4510E"/>
    <w:rsid w:val="00BD25DF"/>
    <w:rsid w:val="00C879A0"/>
    <w:rsid w:val="00D55DDD"/>
    <w:rsid w:val="00E27BA4"/>
    <w:rsid w:val="00E3671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B91229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paragraph" w:customStyle="1" w:styleId="MediumList2-Accent41">
    <w:name w:val="Medium List 2 - Accent 41"/>
    <w:basedOn w:val="Normal"/>
    <w:uiPriority w:val="34"/>
    <w:qFormat/>
    <w:rsid w:val="00A4510E"/>
    <w:pPr>
      <w:widowControl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EDE2-F414-4CED-98B6-4EC17412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Breena Stoner</dc:creator>
  <cp:lastModifiedBy>Neil E. Bowles</cp:lastModifiedBy>
  <cp:revision>2</cp:revision>
  <dcterms:created xsi:type="dcterms:W3CDTF">2021-01-22T18:15:00Z</dcterms:created>
  <dcterms:modified xsi:type="dcterms:W3CDTF">2021-01-22T18:15:00Z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